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仿宋_GB2312"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3108-264000300013</w:t>
            </w:r>
            <w:r>
              <w:rPr>
                <w:rFonts w:hint="eastAsia" w:ascii="仿宋_GB2312" w:hAnsi="仿宋_GB2312" w:eastAsia="仿宋_GB2312" w:cs="仿宋_GB2312"/>
                <w:b/>
                <w:sz w:val="32"/>
                <w:szCs w:val="32"/>
                <w:lang w:val="en-US" w:eastAsia="zh-CN"/>
              </w:rPr>
              <w:t xml:space="preserve"> </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PR2600660曲轴激光热处理设备</w:t>
            </w:r>
            <w:r>
              <w:rPr>
                <w:rFonts w:hint="eastAsia" w:cs="Times New Roman"/>
                <w:b/>
                <w:sz w:val="24"/>
                <w:lang w:val="en-US" w:eastAsia="zh-CN"/>
              </w:rPr>
              <w:t>（重新招标</w:t>
            </w:r>
            <w:bookmarkStart w:id="3" w:name="_GoBack"/>
            <w:bookmarkEnd w:id="3"/>
            <w:r>
              <w:rPr>
                <w:rFonts w:hint="eastAsia" w:cs="Times New Roman"/>
                <w:b/>
                <w:sz w:val="24"/>
                <w:lang w:val="en-US" w:eastAsia="zh-CN"/>
              </w:rPr>
              <w:t>）</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1F60EB4"/>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2026-05-09T09:17:33Z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