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94AE5">
      <w:pPr>
        <w:pStyle w:val="5"/>
        <w:spacing w:line="251" w:lineRule="auto"/>
      </w:pPr>
    </w:p>
    <w:p w14:paraId="444DB01A">
      <w:pPr>
        <w:pStyle w:val="5"/>
        <w:spacing w:line="252" w:lineRule="auto"/>
      </w:pPr>
    </w:p>
    <w:p w14:paraId="7AC257C8">
      <w:pPr>
        <w:pStyle w:val="5"/>
        <w:spacing w:line="252" w:lineRule="auto"/>
      </w:pPr>
    </w:p>
    <w:p w14:paraId="51F2F553">
      <w:pPr>
        <w:keepNext w:val="0"/>
        <w:keepLines w:val="0"/>
        <w:pageBreakBefore w:val="0"/>
        <w:widowControl w:val="0"/>
        <w:kinsoku/>
        <w:wordWrap/>
        <w:overflowPunct/>
        <w:topLinePunct w:val="0"/>
        <w:autoSpaceDE/>
        <w:autoSpaceDN/>
        <w:bidi w:val="0"/>
        <w:adjustRightInd/>
        <w:snapToGrid/>
        <w:spacing w:line="1102" w:lineRule="exact"/>
        <w:ind w:left="0" w:right="0" w:firstLine="0"/>
        <w:jc w:val="center"/>
        <w:textAlignment w:val="auto"/>
        <w:rPr>
          <w:rFonts w:hint="eastAsia" w:ascii="宋体" w:hAnsi="宋体" w:eastAsia="宋体" w:cs="宋体"/>
          <w:sz w:val="84"/>
          <w:szCs w:val="84"/>
          <w:lang w:eastAsia="zh-CN"/>
        </w:rPr>
      </w:pPr>
      <w:r>
        <w:rPr>
          <w:rFonts w:hint="eastAsia" w:ascii="Times New Roman" w:hAnsi="宋体" w:eastAsia="微软雅黑" w:cs="宋体"/>
          <w:b w:val="0"/>
          <w:bCs w:val="0"/>
          <w:snapToGrid w:val="0"/>
          <w:color w:val="000000"/>
          <w:spacing w:val="0"/>
          <w:w w:val="100"/>
          <w:kern w:val="0"/>
          <w:sz w:val="84"/>
          <w:szCs w:val="84"/>
          <w:lang w:val="en-US" w:eastAsia="zh-CN" w:bidi="ar-SA"/>
        </w:rPr>
        <w:t>International bidding documents</w:t>
      </w:r>
    </w:p>
    <w:p w14:paraId="44473870">
      <w:pPr>
        <w:spacing w:line="200" w:lineRule="exact"/>
        <w:rPr>
          <w:rFonts w:hint="eastAsia" w:ascii="宋体" w:hAnsi="宋体" w:eastAsia="宋体" w:cs="宋体"/>
          <w:sz w:val="20"/>
          <w:szCs w:val="20"/>
        </w:rPr>
      </w:pPr>
    </w:p>
    <w:p w14:paraId="1F522FFE">
      <w:pPr>
        <w:spacing w:line="200" w:lineRule="exact"/>
        <w:rPr>
          <w:rFonts w:hint="eastAsia" w:ascii="宋体" w:hAnsi="宋体" w:eastAsia="宋体" w:cs="宋体"/>
          <w:sz w:val="20"/>
          <w:szCs w:val="20"/>
        </w:rPr>
      </w:pPr>
    </w:p>
    <w:p w14:paraId="5A61DDA1">
      <w:pPr>
        <w:spacing w:line="200" w:lineRule="exact"/>
        <w:rPr>
          <w:rFonts w:hint="eastAsia" w:ascii="宋体" w:hAnsi="宋体" w:eastAsia="宋体" w:cs="宋体"/>
          <w:sz w:val="20"/>
          <w:szCs w:val="20"/>
        </w:rPr>
      </w:pPr>
    </w:p>
    <w:p w14:paraId="28FA3230">
      <w:pPr>
        <w:spacing w:line="200" w:lineRule="exact"/>
        <w:rPr>
          <w:rFonts w:hint="eastAsia" w:ascii="宋体" w:hAnsi="宋体" w:eastAsia="宋体" w:cs="宋体"/>
          <w:sz w:val="20"/>
          <w:szCs w:val="20"/>
        </w:rPr>
      </w:pPr>
    </w:p>
    <w:p w14:paraId="6D20EE95">
      <w:pPr>
        <w:spacing w:line="200" w:lineRule="exact"/>
        <w:rPr>
          <w:rFonts w:hint="eastAsia" w:ascii="宋体" w:hAnsi="宋体" w:eastAsia="宋体" w:cs="宋体"/>
          <w:sz w:val="20"/>
          <w:szCs w:val="20"/>
        </w:rPr>
      </w:pPr>
    </w:p>
    <w:p w14:paraId="35333A32">
      <w:pPr>
        <w:spacing w:before="13" w:line="280" w:lineRule="exact"/>
        <w:rPr>
          <w:rFonts w:hint="eastAsia" w:ascii="宋体" w:hAnsi="宋体" w:eastAsia="宋体" w:cs="宋体"/>
          <w:sz w:val="28"/>
          <w:szCs w:val="28"/>
        </w:rPr>
      </w:pPr>
    </w:p>
    <w:p w14:paraId="7F8E0352">
      <w:pPr>
        <w:spacing w:before="13" w:line="280" w:lineRule="exact"/>
        <w:rPr>
          <w:rFonts w:hint="eastAsia" w:ascii="宋体" w:hAnsi="宋体" w:eastAsia="宋体" w:cs="宋体"/>
          <w:sz w:val="28"/>
          <w:szCs w:val="28"/>
        </w:rPr>
      </w:pPr>
    </w:p>
    <w:p w14:paraId="1E4F17F7">
      <w:pPr>
        <w:spacing w:before="13" w:line="280" w:lineRule="exact"/>
        <w:rPr>
          <w:rFonts w:hint="eastAsia" w:ascii="宋体" w:hAnsi="宋体" w:eastAsia="宋体" w:cs="宋体"/>
          <w:sz w:val="28"/>
          <w:szCs w:val="28"/>
        </w:rPr>
      </w:pPr>
    </w:p>
    <w:p w14:paraId="40DA8EBC">
      <w:pPr>
        <w:spacing w:before="13" w:line="280" w:lineRule="exact"/>
        <w:rPr>
          <w:rFonts w:hint="eastAsia" w:ascii="宋体" w:hAnsi="宋体" w:eastAsia="宋体" w:cs="宋体"/>
          <w:sz w:val="28"/>
          <w:szCs w:val="28"/>
        </w:rPr>
      </w:pPr>
    </w:p>
    <w:p w14:paraId="0182F3DA">
      <w:pPr>
        <w:spacing w:before="13" w:line="280" w:lineRule="exact"/>
        <w:rPr>
          <w:rFonts w:hint="eastAsia" w:ascii="宋体" w:hAnsi="宋体" w:eastAsia="宋体" w:cs="宋体"/>
          <w:sz w:val="28"/>
          <w:szCs w:val="28"/>
        </w:rPr>
      </w:pPr>
    </w:p>
    <w:p w14:paraId="409E88F7">
      <w:pPr>
        <w:keepNext w:val="0"/>
        <w:keepLines w:val="0"/>
        <w:pageBreakBefore w:val="0"/>
        <w:widowControl w:val="0"/>
        <w:kinsoku/>
        <w:wordWrap/>
        <w:overflowPunct/>
        <w:topLinePunct w:val="0"/>
        <w:autoSpaceDE/>
        <w:autoSpaceDN/>
        <w:bidi w:val="0"/>
        <w:adjustRightInd/>
        <w:snapToGrid/>
        <w:spacing w:before="100" w:line="700" w:lineRule="exact"/>
        <w:ind w:left="2871" w:leftChars="500" w:right="1050" w:rightChars="500" w:hanging="1821" w:hangingChars="500"/>
        <w:jc w:val="left"/>
        <w:textAlignment w:val="auto"/>
        <w:rPr>
          <w:rFonts w:hint="eastAsia" w:ascii="宋体" w:hAnsi="宋体" w:eastAsia="宋体" w:cs="宋体"/>
          <w:b/>
          <w:bCs/>
          <w:spacing w:val="2"/>
          <w:w w:val="100"/>
          <w:sz w:val="36"/>
          <w:szCs w:val="36"/>
          <w:lang w:val="en-US" w:eastAsia="zh-CN"/>
        </w:rPr>
      </w:pPr>
      <w:r>
        <w:rPr>
          <w:rFonts w:hint="eastAsia" w:ascii="Times New Roman" w:hAnsi="宋体" w:eastAsia="微软雅黑" w:cs="宋体"/>
          <w:b/>
          <w:bCs/>
          <w:snapToGrid w:val="0"/>
          <w:color w:val="000000"/>
          <w:spacing w:val="2"/>
          <w:w w:val="100"/>
          <w:kern w:val="0"/>
          <w:sz w:val="36"/>
          <w:szCs w:val="36"/>
          <w:lang w:val="en-US" w:eastAsia="zh-CN" w:bidi="ar-SA"/>
        </w:rPr>
        <w:t>Project Name: Laser and Pulsed Light Workstation Introduction Project at Nanchang University First Affiliated Hospital</w:t>
      </w:r>
    </w:p>
    <w:p w14:paraId="4D0E3DD8">
      <w:pPr>
        <w:keepNext w:val="0"/>
        <w:keepLines w:val="0"/>
        <w:pageBreakBefore w:val="0"/>
        <w:widowControl w:val="0"/>
        <w:kinsoku/>
        <w:wordWrap/>
        <w:overflowPunct/>
        <w:topLinePunct w:val="0"/>
        <w:autoSpaceDE/>
        <w:autoSpaceDN/>
        <w:bidi w:val="0"/>
        <w:adjustRightInd/>
        <w:snapToGrid/>
        <w:spacing w:before="100" w:line="700" w:lineRule="exact"/>
        <w:ind w:left="2701" w:leftChars="500" w:right="1050" w:rightChars="500" w:hanging="1651" w:hangingChars="500"/>
        <w:jc w:val="both"/>
        <w:textAlignment w:val="auto"/>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3"/>
          <w:w w:val="90"/>
          <w:kern w:val="0"/>
          <w:sz w:val="36"/>
          <w:szCs w:val="36"/>
          <w:lang w:val="en-US" w:eastAsia="zh-CN" w:bidi="ar-SA"/>
        </w:rPr>
        <w:t>Bidding number: 1493-256110111137</w:t>
      </w:r>
    </w:p>
    <w:p w14:paraId="557DB335">
      <w:pPr>
        <w:spacing w:line="200" w:lineRule="exact"/>
        <w:rPr>
          <w:rFonts w:hint="eastAsia" w:ascii="宋体" w:hAnsi="宋体" w:eastAsia="宋体" w:cs="宋体"/>
          <w:sz w:val="20"/>
          <w:szCs w:val="20"/>
        </w:rPr>
      </w:pPr>
    </w:p>
    <w:p w14:paraId="6B4603E9">
      <w:pPr>
        <w:spacing w:line="200" w:lineRule="exact"/>
        <w:rPr>
          <w:rFonts w:hint="eastAsia" w:ascii="宋体" w:hAnsi="宋体" w:eastAsia="宋体" w:cs="宋体"/>
          <w:sz w:val="20"/>
          <w:szCs w:val="20"/>
        </w:rPr>
      </w:pPr>
    </w:p>
    <w:p w14:paraId="7C0198D1">
      <w:pPr>
        <w:spacing w:line="200" w:lineRule="exact"/>
        <w:rPr>
          <w:rFonts w:hint="eastAsia" w:ascii="宋体" w:hAnsi="宋体" w:eastAsia="宋体" w:cs="宋体"/>
          <w:sz w:val="20"/>
          <w:szCs w:val="20"/>
        </w:rPr>
      </w:pPr>
    </w:p>
    <w:p w14:paraId="7DA20044">
      <w:pPr>
        <w:spacing w:line="200" w:lineRule="exact"/>
        <w:rPr>
          <w:rFonts w:hint="eastAsia" w:ascii="宋体" w:hAnsi="宋体" w:eastAsia="宋体" w:cs="宋体"/>
          <w:sz w:val="20"/>
          <w:szCs w:val="20"/>
        </w:rPr>
      </w:pPr>
    </w:p>
    <w:p w14:paraId="61490D47">
      <w:pPr>
        <w:spacing w:line="200" w:lineRule="exact"/>
        <w:rPr>
          <w:rFonts w:hint="eastAsia" w:ascii="宋体" w:hAnsi="宋体" w:eastAsia="宋体" w:cs="宋体"/>
          <w:sz w:val="20"/>
          <w:szCs w:val="20"/>
        </w:rPr>
      </w:pPr>
    </w:p>
    <w:p w14:paraId="3C774F16">
      <w:pPr>
        <w:spacing w:line="200" w:lineRule="exact"/>
        <w:rPr>
          <w:rFonts w:hint="eastAsia" w:ascii="宋体" w:hAnsi="宋体" w:eastAsia="宋体" w:cs="宋体"/>
          <w:sz w:val="20"/>
          <w:szCs w:val="20"/>
        </w:rPr>
      </w:pPr>
    </w:p>
    <w:p w14:paraId="6939E91E">
      <w:pPr>
        <w:spacing w:line="220" w:lineRule="exact"/>
        <w:rPr>
          <w:rFonts w:hint="eastAsia" w:ascii="宋体" w:hAnsi="宋体" w:eastAsia="宋体" w:cs="宋体"/>
          <w:sz w:val="22"/>
          <w:szCs w:val="22"/>
        </w:rPr>
      </w:pPr>
    </w:p>
    <w:p w14:paraId="266AFC80">
      <w:pPr>
        <w:ind w:left="276" w:right="0"/>
        <w:jc w:val="center"/>
        <w:outlineLvl w:val="9"/>
        <w:rPr>
          <w:rFonts w:hint="eastAsia" w:ascii="宋体" w:hAnsi="宋体" w:eastAsia="宋体" w:cs="宋体"/>
          <w:b/>
          <w:bCs/>
          <w:sz w:val="36"/>
          <w:szCs w:val="36"/>
          <w:lang w:eastAsia="zh-CN"/>
        </w:rPr>
      </w:pPr>
      <w:r>
        <w:rPr>
          <w:rFonts w:hint="eastAsia" w:ascii="Times New Roman" w:hAnsi="宋体" w:eastAsia="微软雅黑" w:cs="宋体"/>
          <w:b/>
          <w:bCs/>
          <w:snapToGrid w:val="0"/>
          <w:color w:val="000000"/>
          <w:spacing w:val="0"/>
          <w:w w:val="100"/>
          <w:kern w:val="0"/>
          <w:sz w:val="36"/>
          <w:szCs w:val="36"/>
          <w:lang w:val="en-US" w:eastAsia="zh-CN" w:bidi="ar-SA"/>
        </w:rPr>
        <w:t>(Volume II)</w:t>
      </w:r>
    </w:p>
    <w:p w14:paraId="78EC68E2">
      <w:pPr>
        <w:spacing w:line="200" w:lineRule="exact"/>
        <w:rPr>
          <w:rFonts w:hint="eastAsia" w:ascii="宋体" w:hAnsi="宋体" w:eastAsia="宋体" w:cs="宋体"/>
          <w:b/>
          <w:bCs/>
          <w:sz w:val="36"/>
          <w:szCs w:val="36"/>
        </w:rPr>
      </w:pPr>
    </w:p>
    <w:p w14:paraId="64E5D3D1">
      <w:pPr>
        <w:spacing w:line="200" w:lineRule="exact"/>
        <w:rPr>
          <w:rFonts w:hint="eastAsia" w:ascii="宋体" w:hAnsi="宋体" w:eastAsia="宋体" w:cs="宋体"/>
          <w:b/>
          <w:bCs/>
          <w:sz w:val="36"/>
          <w:szCs w:val="36"/>
        </w:rPr>
      </w:pPr>
    </w:p>
    <w:p w14:paraId="23C82016">
      <w:pPr>
        <w:spacing w:line="200" w:lineRule="exact"/>
        <w:rPr>
          <w:rFonts w:hint="eastAsia" w:ascii="宋体" w:hAnsi="宋体" w:eastAsia="宋体" w:cs="宋体"/>
          <w:b/>
          <w:bCs/>
          <w:sz w:val="36"/>
          <w:szCs w:val="36"/>
        </w:rPr>
      </w:pPr>
    </w:p>
    <w:p w14:paraId="2466D6B6">
      <w:pPr>
        <w:spacing w:line="200" w:lineRule="exact"/>
        <w:rPr>
          <w:rFonts w:hint="eastAsia" w:ascii="宋体" w:hAnsi="宋体" w:eastAsia="宋体" w:cs="宋体"/>
          <w:b/>
          <w:bCs/>
          <w:sz w:val="36"/>
          <w:szCs w:val="36"/>
        </w:rPr>
      </w:pPr>
    </w:p>
    <w:p w14:paraId="0D087FFA">
      <w:pPr>
        <w:spacing w:line="200" w:lineRule="exact"/>
        <w:rPr>
          <w:rFonts w:hint="eastAsia" w:ascii="宋体" w:hAnsi="宋体" w:eastAsia="宋体" w:cs="宋体"/>
          <w:b/>
          <w:bCs/>
          <w:sz w:val="36"/>
          <w:szCs w:val="36"/>
        </w:rPr>
      </w:pPr>
    </w:p>
    <w:p w14:paraId="6A5446F0">
      <w:pPr>
        <w:spacing w:line="200" w:lineRule="exact"/>
        <w:rPr>
          <w:rFonts w:hint="eastAsia" w:ascii="宋体" w:hAnsi="宋体" w:eastAsia="宋体" w:cs="宋体"/>
          <w:b/>
          <w:bCs/>
          <w:sz w:val="36"/>
          <w:szCs w:val="36"/>
        </w:rPr>
      </w:pPr>
    </w:p>
    <w:p w14:paraId="79565263">
      <w:pPr>
        <w:spacing w:before="1" w:line="280" w:lineRule="exact"/>
        <w:rPr>
          <w:rFonts w:hint="eastAsia" w:ascii="宋体" w:hAnsi="宋体" w:eastAsia="宋体" w:cs="宋体"/>
          <w:b/>
          <w:bCs/>
          <w:sz w:val="36"/>
          <w:szCs w:val="36"/>
        </w:rPr>
      </w:pPr>
    </w:p>
    <w:p w14:paraId="162CEBDF">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spacing w:val="2"/>
          <w:w w:val="100"/>
          <w:sz w:val="36"/>
          <w:szCs w:val="36"/>
          <w:lang w:eastAsia="zh-CN"/>
        </w:rPr>
      </w:pPr>
      <w:r>
        <w:rPr>
          <w:rFonts w:hint="eastAsia" w:ascii="Times New Roman" w:hAnsi="宋体" w:eastAsia="微软雅黑" w:cs="宋体"/>
          <w:b/>
          <w:bCs/>
          <w:snapToGrid w:val="0"/>
          <w:color w:val="000000"/>
          <w:spacing w:val="2"/>
          <w:w w:val="100"/>
          <w:kern w:val="0"/>
          <w:sz w:val="36"/>
          <w:szCs w:val="36"/>
          <w:lang w:val="en-US" w:eastAsia="zh-CN" w:bidi="ar-SA"/>
        </w:rPr>
        <w:t>Jiangxi Integrity Weiye Tender Consulting Co., LTD</w:t>
      </w:r>
    </w:p>
    <w:p w14:paraId="44DFACC9">
      <w:pPr>
        <w:spacing w:before="187" w:line="228" w:lineRule="auto"/>
        <w:ind w:left="3903"/>
        <w:rPr>
          <w:rFonts w:hint="eastAsia" w:ascii="黑体" w:hAnsi="黑体" w:eastAsia="宋体" w:cs="黑体"/>
          <w:sz w:val="35"/>
          <w:szCs w:val="35"/>
          <w:lang w:eastAsia="zh-CN"/>
        </w:rPr>
      </w:pPr>
      <w:r>
        <w:rPr>
          <w:rFonts w:hint="eastAsia" w:ascii="Times New Roman" w:hAnsi="宋体" w:eastAsia="微软雅黑" w:cs="宋体"/>
          <w:b/>
          <w:bCs/>
          <w:snapToGrid w:val="0"/>
          <w:color w:val="000000"/>
          <w:spacing w:val="0"/>
          <w:w w:val="110"/>
          <w:kern w:val="0"/>
          <w:sz w:val="36"/>
          <w:szCs w:val="36"/>
          <w:lang w:val="en-US" w:eastAsia="zh-CN" w:bidi="ar-SA"/>
        </w:rPr>
        <w:t>China·Nanchang</w:t>
      </w:r>
    </w:p>
    <w:p w14:paraId="20E2AFE9">
      <w:pPr>
        <w:spacing w:line="228" w:lineRule="auto"/>
        <w:rPr>
          <w:rFonts w:ascii="黑体" w:hAnsi="黑体" w:eastAsia="黑体" w:cs="黑体"/>
          <w:sz w:val="35"/>
          <w:szCs w:val="35"/>
        </w:rPr>
        <w:sectPr>
          <w:footerReference r:id="rId5" w:type="default"/>
          <w:pgSz w:w="11910" w:h="16840"/>
          <w:pgMar w:top="1431" w:right="1371" w:bottom="1172" w:left="1279" w:header="0" w:footer="954" w:gutter="0"/>
          <w:cols w:space="720" w:num="1"/>
        </w:sectPr>
      </w:pPr>
    </w:p>
    <w:p w14:paraId="05F51C09">
      <w:pPr>
        <w:pStyle w:val="5"/>
        <w:spacing w:line="322" w:lineRule="auto"/>
      </w:pPr>
    </w:p>
    <w:sdt>
      <w:sdtPr>
        <w:rPr>
          <w:rFonts w:ascii="宋体" w:hAnsi="宋体" w:eastAsia="宋体" w:cs="Arial"/>
          <w:snapToGrid w:val="0"/>
          <w:color w:val="000000"/>
          <w:kern w:val="0"/>
          <w:sz w:val="21"/>
          <w:szCs w:val="21"/>
          <w:lang w:val="en-US" w:eastAsia="en-US" w:bidi="ar-SA"/>
        </w:rPr>
        <w:id w:val="147455526"/>
        <w15:color w:val="DBDBDB"/>
        <w:docPartObj>
          <w:docPartGallery w:val="Table of Contents"/>
          <w:docPartUnique/>
        </w:docPartObj>
      </w:sdtPr>
      <w:sdtEndPr>
        <w:rPr>
          <w:rFonts w:ascii="宋体" w:hAnsi="宋体" w:eastAsia="宋体" w:cs="宋体"/>
          <w:snapToGrid w:val="0"/>
          <w:color w:val="000000"/>
          <w:kern w:val="0"/>
          <w:sz w:val="21"/>
          <w:szCs w:val="31"/>
          <w:lang w:val="en-US" w:eastAsia="en-US" w:bidi="ar-SA"/>
        </w:rPr>
      </w:sdtEndPr>
      <w:sdtContent>
        <w:p w14:paraId="0D991D01">
          <w:pPr>
            <w:spacing w:before="0" w:beforeLines="0" w:after="0" w:afterLines="0" w:line="240" w:lineRule="auto"/>
            <w:ind w:left="0" w:leftChars="0" w:right="0" w:rightChars="0" w:firstLine="0" w:firstLineChars="0"/>
            <w:jc w:val="center"/>
            <w:rPr>
              <w:rFonts w:hint="eastAsia" w:eastAsia="宋体"/>
              <w:lang w:eastAsia="zh-CN"/>
            </w:rPr>
          </w:pPr>
          <w:r>
            <w:rPr>
              <w:rFonts w:hint="eastAsia" w:ascii="Times New Roman" w:hAnsi="宋体" w:eastAsia="微软雅黑" w:cs="Arial"/>
              <w:snapToGrid w:val="0"/>
              <w:color w:val="000000"/>
              <w:kern w:val="0"/>
              <w:sz w:val="21"/>
              <w:szCs w:val="21"/>
              <w:lang w:val="en-US" w:eastAsia="zh-CN" w:bidi="ar-SA"/>
            </w:rPr>
            <w:t>catalogue</w:t>
          </w:r>
        </w:p>
        <w:p w14:paraId="5584DD6E">
          <w:pPr>
            <w:pStyle w:val="9"/>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ascii="宋体" w:hAnsi="宋体" w:eastAsia="宋体" w:cs="宋体"/>
              <w:sz w:val="31"/>
              <w:szCs w:val="31"/>
            </w:rPr>
            <w:fldChar w:fldCharType="begin"/>
          </w:r>
          <w:r>
            <w:rPr>
              <w:rFonts w:ascii="宋体" w:hAnsi="宋体" w:eastAsia="宋体" w:cs="宋体"/>
              <w:sz w:val="31"/>
              <w:szCs w:val="31"/>
            </w:rPr>
            <w:instrText xml:space="preserve">TOC \o "1-3" \h \u </w:instrText>
          </w:r>
          <w:r>
            <w:rPr>
              <w:rFonts w:ascii="宋体" w:hAnsi="宋体" w:eastAsia="宋体" w:cs="宋体"/>
              <w:sz w:val="31"/>
              <w:szCs w:val="31"/>
            </w:rPr>
            <w:fldChar w:fldCharType="separate"/>
          </w: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"_Toc24208"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Chapter 5 Invitation to Bid 3</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4</w:t>
          </w:r>
          <w:r>
            <w:rPr>
              <w:rFonts w:hint="eastAsia" w:ascii="Times New Roman" w:hAnsi="宋体" w:eastAsia="微软雅黑" w:cs="宋体"/>
              <w:sz w:val="24"/>
              <w:szCs w:val="24"/>
              <w:lang w:eastAsia="zh-CN"/>
            </w:rPr>
            <w:fldChar w:fldCharType="end"/>
          </w:r>
        </w:p>
        <w:p w14:paraId="0E13A346">
          <w:pPr>
            <w:pStyle w:val="9"/>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"_Toc10479"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Chapter VI Bidding Data Sheet 6</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7</w:t>
          </w:r>
          <w:r>
            <w:rPr>
              <w:rFonts w:hint="eastAsia" w:ascii="Times New Roman" w:hAnsi="宋体" w:eastAsia="微软雅黑" w:cs="宋体"/>
              <w:sz w:val="24"/>
              <w:szCs w:val="24"/>
              <w:lang w:eastAsia="zh-CN"/>
            </w:rPr>
            <w:fldChar w:fldCharType="end"/>
          </w:r>
        </w:p>
        <w:p w14:paraId="03E6AE4F">
          <w:pPr>
            <w:pStyle w:val="9"/>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"_Toc18653"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Chapter VII Special Terms of Contract 13</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14</w:t>
          </w:r>
          <w:r>
            <w:rPr>
              <w:rFonts w:hint="eastAsia" w:ascii="Times New Roman" w:hAnsi="宋体" w:eastAsia="微软雅黑" w:cs="宋体"/>
              <w:sz w:val="24"/>
              <w:szCs w:val="24"/>
              <w:lang w:eastAsia="zh-CN"/>
            </w:rPr>
            <w:fldChar w:fldCharType="end"/>
          </w:r>
        </w:p>
        <w:p w14:paraId="3465AA85">
          <w:pPr>
            <w:pStyle w:val="9"/>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"_Toc3108"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Chapter VIII List of cargo requirements and technical specifications 15</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16</w:t>
          </w:r>
          <w:r>
            <w:rPr>
              <w:rFonts w:hint="eastAsia" w:ascii="Times New Roman" w:hAnsi="宋体" w:eastAsia="微软雅黑" w:cs="宋体"/>
              <w:sz w:val="24"/>
              <w:szCs w:val="24"/>
              <w:lang w:eastAsia="zh-CN"/>
            </w:rPr>
            <w:fldChar w:fldCharType="end"/>
          </w:r>
        </w:p>
        <w:p w14:paraId="1A521331">
          <w:pPr>
            <w:pStyle w:val="10"/>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"_Toc14475"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I. List of goods in demand 15</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16</w:t>
          </w:r>
          <w:r>
            <w:rPr>
              <w:rFonts w:hint="eastAsia" w:ascii="Times New Roman" w:hAnsi="宋体" w:eastAsia="微软雅黑" w:cs="宋体"/>
              <w:sz w:val="24"/>
              <w:szCs w:val="24"/>
              <w:lang w:eastAsia="zh-CN"/>
            </w:rPr>
            <w:fldChar w:fldCharType="end"/>
          </w:r>
        </w:p>
        <w:p w14:paraId="6F9D4CCE">
          <w:pPr>
            <w:pStyle w:val="10"/>
            <w:keepNext w:val="0"/>
            <w:keepLines w:val="0"/>
            <w:pageBreakBefore w:val="0"/>
            <w:widowControl/>
            <w:tabs>
              <w:tab w:val="right" w:leader="dot" w:pos="9381"/>
            </w:tabs>
            <w:kinsoku w:val="0"/>
            <w:wordWrap/>
            <w:overflowPunct/>
            <w:topLinePunct w:val="0"/>
            <w:autoSpaceDE w:val="0"/>
            <w:autoSpaceDN w:val="0"/>
            <w:bidi w:val="0"/>
            <w:adjustRightInd w:val="0"/>
            <w:snapToGrid w:val="0"/>
            <w:spacing w:line="500" w:lineRule="exact"/>
            <w:textAlignment w:val="baseline"/>
            <w:rPr>
              <w:rFonts w:hint="eastAsia" w:eastAsia="宋体"/>
              <w:lang w:eastAsia="zh-CN"/>
            </w:rPr>
          </w:pPr>
          <w:r>
            <w:rPr>
              <w:rFonts w:hint="eastAsia" w:ascii="Times New Roman" w:hAnsi="宋体" w:eastAsia="微软雅黑" w:cs="宋体"/>
              <w:sz w:val="24"/>
              <w:szCs w:val="24"/>
              <w:lang w:eastAsia="zh-CN"/>
            </w:rPr>
            <w:fldChar w:fldCharType="begin"/>
          </w:r>
          <w:r>
            <w:rPr>
              <w:rFonts w:hint="eastAsia" w:ascii="Times New Roman" w:hAnsi="宋体" w:eastAsia="微软雅黑" w:cs="宋体"/>
              <w:sz w:val="24"/>
              <w:szCs w:val="24"/>
              <w:lang w:eastAsia="zh-CN"/>
            </w:rPr>
            <w:instrText xml:space="preserve"> HYPERLINK \l "_Toc29264" </w:instrText>
          </w:r>
          <w:r>
            <w:rPr>
              <w:rFonts w:hint="eastAsia" w:ascii="Times New Roman" w:hAnsi="宋体" w:eastAsia="微软雅黑" w:cs="宋体"/>
              <w:sz w:val="24"/>
              <w:szCs w:val="24"/>
              <w:lang w:eastAsia="zh-CN"/>
            </w:rPr>
            <w:fldChar w:fldCharType="separate"/>
          </w:r>
          <w:r>
            <w:rPr>
              <w:rStyle w:val="15"/>
              <w:rFonts w:hint="eastAsia" w:ascii="Times New Roman" w:hAnsi="宋体" w:eastAsia="微软雅黑" w:cs="宋体"/>
              <w:sz w:val="24"/>
              <w:szCs w:val="24"/>
              <w:lang w:eastAsia="zh-CN"/>
            </w:rPr>
            <w:t>II. Technical specifications 16</w:t>
          </w:r>
          <w:r>
            <w:rPr>
              <w:rStyle w:val="15"/>
              <w:rFonts w:hint="eastAsia" w:ascii="Times New Roman" w:hAnsi="宋体" w:eastAsia="微软雅黑" w:cs="宋体"/>
              <w:sz w:val="24"/>
              <w:szCs w:val="24"/>
              <w:lang w:eastAsia="zh-CN"/>
            </w:rPr>
            <w:tab/>
          </w:r>
          <w:r>
            <w:rPr>
              <w:rStyle w:val="15"/>
              <w:rFonts w:hint="eastAsia" w:ascii="Times New Roman" w:hAnsi="宋体" w:eastAsia="微软雅黑" w:cs="宋体"/>
              <w:sz w:val="24"/>
              <w:szCs w:val="24"/>
              <w:lang w:eastAsia="zh-CN"/>
            </w:rPr>
            <w:t>17</w:t>
          </w:r>
          <w:r>
            <w:rPr>
              <w:rFonts w:hint="eastAsia" w:ascii="Times New Roman" w:hAnsi="宋体" w:eastAsia="微软雅黑" w:cs="宋体"/>
              <w:sz w:val="24"/>
              <w:szCs w:val="24"/>
              <w:lang w:eastAsia="zh-CN"/>
            </w:rPr>
            <w:fldChar w:fldCharType="end"/>
          </w:r>
        </w:p>
        <w:p w14:paraId="5BA3AB68">
          <w:pPr>
            <w:spacing w:line="227" w:lineRule="auto"/>
            <w:rPr>
              <w:rFonts w:ascii="宋体" w:hAnsi="宋体" w:eastAsia="宋体" w:cs="宋体"/>
              <w:snapToGrid w:val="0"/>
              <w:color w:val="000000"/>
              <w:kern w:val="0"/>
              <w:sz w:val="21"/>
              <w:szCs w:val="31"/>
              <w:lang w:val="en-US" w:eastAsia="en-US" w:bidi="ar-SA"/>
            </w:rPr>
          </w:pPr>
          <w:r>
            <w:rPr>
              <w:rFonts w:ascii="宋体" w:hAnsi="宋体" w:eastAsia="宋体" w:cs="宋体"/>
              <w:szCs w:val="31"/>
            </w:rPr>
            <w:fldChar w:fldCharType="end"/>
          </w:r>
        </w:p>
      </w:sdtContent>
    </w:sdt>
    <w:p w14:paraId="652E9BF2">
      <w:pPr>
        <w:spacing w:line="227" w:lineRule="auto"/>
        <w:rPr>
          <w:rFonts w:ascii="宋体" w:hAnsi="宋体" w:eastAsia="宋体" w:cs="宋体"/>
          <w:snapToGrid w:val="0"/>
          <w:color w:val="000000"/>
          <w:kern w:val="0"/>
          <w:sz w:val="21"/>
          <w:szCs w:val="31"/>
          <w:lang w:val="en-US" w:eastAsia="en-US" w:bidi="ar-SA"/>
        </w:rPr>
        <w:sectPr>
          <w:footerReference r:id="rId6" w:type="default"/>
          <w:pgSz w:w="11910" w:h="16840"/>
          <w:pgMar w:top="1431" w:right="1099" w:bottom="1172" w:left="1430" w:header="0" w:footer="954" w:gutter="0"/>
          <w:cols w:space="720" w:num="1"/>
        </w:sectPr>
      </w:pPr>
    </w:p>
    <w:p w14:paraId="4AB3DE12">
      <w:pPr>
        <w:pStyle w:val="5"/>
        <w:spacing w:line="266" w:lineRule="auto"/>
      </w:pPr>
    </w:p>
    <w:p w14:paraId="118EE3B0">
      <w:pPr>
        <w:spacing w:before="114" w:line="227" w:lineRule="auto"/>
        <w:ind w:left="3400"/>
        <w:outlineLvl w:val="0"/>
        <w:rPr>
          <w:rFonts w:hint="eastAsia" w:eastAsia="黑体"/>
          <w:lang w:eastAsia="zh-CN"/>
        </w:rPr>
      </w:pPr>
      <w:bookmarkStart w:id="0" w:name="_Toc24208"/>
      <w:r>
        <w:rPr>
          <w:rFonts w:hint="eastAsia" w:ascii="Times New Roman" w:hAnsi="黑体" w:eastAsia="微软雅黑" w:cs="黑体"/>
          <w:b/>
          <w:bCs/>
          <w:snapToGrid w:val="0"/>
          <w:color w:val="000000"/>
          <w:spacing w:val="5"/>
          <w:kern w:val="0"/>
          <w:sz w:val="35"/>
          <w:szCs w:val="35"/>
          <w:lang w:val="en-US" w:eastAsia="zh-CN" w:bidi="ar-SA"/>
        </w:rPr>
        <w:t>Chapter 5 Invitation to Bid</w:t>
      </w:r>
      <w:bookmarkEnd w:id="0"/>
    </w:p>
    <w:p w14:paraId="310DB25E">
      <w:pPr>
        <w:keepNext w:val="0"/>
        <w:keepLines w:val="0"/>
        <w:pageBreakBefore w:val="0"/>
        <w:widowControl/>
        <w:kinsoku w:val="0"/>
        <w:wordWrap/>
        <w:overflowPunct/>
        <w:topLinePunct w:val="0"/>
        <w:autoSpaceDE w:val="0"/>
        <w:autoSpaceDN w:val="0"/>
        <w:bidi w:val="0"/>
        <w:adjustRightInd w:val="0"/>
        <w:snapToGrid w:val="0"/>
        <w:spacing w:line="500" w:lineRule="exact"/>
        <w:ind w:left="2" w:right="320" w:firstLine="47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Jiangxi Chengxin Weiye Bidding Consulting Co., Ltd. (hereinafter referred to as the "bidding agency") is entrusted by the purchaser to invite qualified bidders to submit sealed bidding documents for the following goods and related services:</w:t>
      </w:r>
    </w:p>
    <w:p w14:paraId="3EFF344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outlineLvl w:val="9"/>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I. Bidding conditions</w:t>
      </w:r>
    </w:p>
    <w:p w14:paraId="21D432A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Project Overview: Introducing medical equipment to meet the development needs of the hospital</w:t>
      </w:r>
    </w:p>
    <w:p w14:paraId="318385A3">
      <w:pPr>
        <w:keepNext w:val="0"/>
        <w:keepLines w:val="0"/>
        <w:pageBreakBefore w:val="0"/>
        <w:widowControl/>
        <w:kinsoku w:val="0"/>
        <w:wordWrap/>
        <w:overflowPunct/>
        <w:topLinePunct w:val="0"/>
        <w:autoSpaceDE w:val="0"/>
        <w:autoSpaceDN w:val="0"/>
        <w:bidi w:val="0"/>
        <w:adjustRightInd w:val="0"/>
        <w:snapToGrid w:val="0"/>
        <w:spacing w:line="500" w:lineRule="exact"/>
        <w:ind w:left="47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Status of fund availability or source confirmation: self-raised funds by the organization</w:t>
      </w:r>
    </w:p>
    <w:p w14:paraId="2000FC38">
      <w:pPr>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3. Description of the project that has met the bidding conditions: the funds have been in place</w:t>
      </w:r>
    </w:p>
    <w:p w14:paraId="2B3BAE30">
      <w:pPr>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val="en-US" w:eastAsia="zh-CN"/>
        </w:rPr>
      </w:pPr>
      <w:r>
        <w:rPr>
          <w:rFonts w:hint="eastAsia" w:ascii="Times New Roman" w:hAnsi="宋体" w:eastAsia="微软雅黑" w:cs="宋体"/>
          <w:b/>
          <w:bCs/>
          <w:snapToGrid w:val="0"/>
          <w:color w:val="0D0D0D"/>
          <w:spacing w:val="-4"/>
          <w:kern w:val="0"/>
          <w:sz w:val="24"/>
          <w:szCs w:val="24"/>
          <w:lang w:val="en-US" w:eastAsia="zh-CN" w:bidi="ar-SA"/>
        </w:rPr>
        <w:t>II. Bidding Content</w:t>
      </w:r>
    </w:p>
    <w:p w14:paraId="26B6AC6D">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1. Bidding number: 1493-256110111137</w:t>
      </w:r>
    </w:p>
    <w:p w14:paraId="13BAC809">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2. Project Name: Laser and Pulsed Light Workstation Introduction Project at Nanchang University First Affiliated Hospital</w:t>
      </w:r>
    </w:p>
    <w:p w14:paraId="1DEE241E">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3. Project implementation place: Nanchang City, Jiangxi Province</w:t>
      </w:r>
    </w:p>
    <w:p w14:paraId="4BFE40F8">
      <w:pPr>
        <w:keepNext w:val="0"/>
        <w:keepLines w:val="0"/>
        <w:pageBreakBefore w:val="0"/>
        <w:widowControl/>
        <w:kinsoku w:val="0"/>
        <w:wordWrap/>
        <w:overflowPunct/>
        <w:topLinePunct w:val="0"/>
        <w:autoSpaceDE w:val="0"/>
        <w:autoSpaceDN w:val="0"/>
        <w:bidi w:val="0"/>
        <w:adjustRightInd w:val="0"/>
        <w:snapToGrid w:val="0"/>
        <w:spacing w:line="500" w:lineRule="exact"/>
        <w:ind w:left="474"/>
        <w:textAlignment w:val="baseline"/>
        <w:rPr>
          <w:rFonts w:hint="eastAsia" w:ascii="宋体" w:hAnsi="宋体" w:eastAsia="宋体" w:cs="宋体"/>
          <w:strike w:val="0"/>
          <w:dstrike w:val="0"/>
          <w:sz w:val="24"/>
          <w:szCs w:val="24"/>
          <w:highlight w:val="none"/>
          <w:lang w:eastAsia="zh-CN"/>
        </w:rPr>
      </w:pPr>
      <w:r>
        <w:rPr>
          <w:rFonts w:hint="eastAsia" w:ascii="Times New Roman" w:hAnsi="宋体" w:eastAsia="微软雅黑" w:cs="宋体"/>
          <w:strike w:val="0"/>
          <w:dstrike w:val="0"/>
          <w:snapToGrid w:val="0"/>
          <w:color w:val="0D0D0D"/>
          <w:spacing w:val="-2"/>
          <w:kern w:val="0"/>
          <w:sz w:val="24"/>
          <w:szCs w:val="24"/>
          <w:highlight w:val="none"/>
          <w:lang w:val="en-US" w:eastAsia="zh-CN" w:bidi="ar-SA"/>
        </w:rPr>
        <w:t>4. Domestic products that meet the requirements can participate in the bidding.</w:t>
      </w:r>
    </w:p>
    <w:p w14:paraId="376BAD45">
      <w:pPr>
        <w:keepNext w:val="0"/>
        <w:keepLines w:val="0"/>
        <w:pageBreakBefore w:val="0"/>
        <w:widowControl/>
        <w:kinsoku w:val="0"/>
        <w:wordWrap/>
        <w:overflowPunct/>
        <w:topLinePunct w:val="0"/>
        <w:autoSpaceDE w:val="0"/>
        <w:autoSpaceDN w:val="0"/>
        <w:bidi w:val="0"/>
        <w:adjustRightInd w:val="0"/>
        <w:snapToGrid w:val="0"/>
        <w:spacing w:line="500" w:lineRule="exact"/>
        <w:ind w:left="474"/>
        <w:textAlignment w:val="baseline"/>
        <w:rPr>
          <w:rFonts w:hint="eastAsia" w:ascii="Times New Roman" w:hAnsi="宋体" w:eastAsia="微软雅黑" w:cs="宋体"/>
          <w:strike w:val="0"/>
          <w:dstrike w:val="0"/>
          <w:snapToGrid w:val="0"/>
          <w:color w:val="0D0D0D"/>
          <w:spacing w:val="-2"/>
          <w:kern w:val="0"/>
          <w:sz w:val="24"/>
          <w:szCs w:val="24"/>
          <w:highlight w:val="none"/>
          <w:lang w:val="en-US" w:eastAsia="zh-CN" w:bidi="ar-SA"/>
        </w:rPr>
      </w:pPr>
      <w:bookmarkStart w:id="6" w:name="_GoBack"/>
      <w:r>
        <w:rPr>
          <w:rFonts w:hint="eastAsia" w:ascii="Times New Roman" w:hAnsi="宋体" w:eastAsia="微软雅黑" w:cs="宋体"/>
          <w:strike w:val="0"/>
          <w:dstrike w:val="0"/>
          <w:snapToGrid w:val="0"/>
          <w:color w:val="0D0D0D"/>
          <w:spacing w:val="-2"/>
          <w:kern w:val="0"/>
          <w:sz w:val="24"/>
          <w:szCs w:val="24"/>
          <w:highlight w:val="none"/>
          <w:lang w:val="en-US" w:eastAsia="zh-CN" w:bidi="ar-SA"/>
        </w:rPr>
        <w:t>5. List of bidding products (main equipment):</w:t>
      </w:r>
    </w:p>
    <w:bookmarkEnd w:id="6"/>
    <w:tbl>
      <w:tblPr>
        <w:tblStyle w:val="16"/>
        <w:tblW w:w="8908"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2"/>
        <w:gridCol w:w="1630"/>
        <w:gridCol w:w="720"/>
        <w:gridCol w:w="1801"/>
        <w:gridCol w:w="1445"/>
        <w:gridCol w:w="1450"/>
      </w:tblGrid>
      <w:tr w14:paraId="5740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center"/>
          </w:tcPr>
          <w:p w14:paraId="035FEE1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95" w:leftChars="0"/>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highlight w:val="none"/>
                <w:lang w:val="en-US" w:eastAsia="zh-CN" w:bidi="ar-SA"/>
              </w:rPr>
              <w:t>Procurement Plan Approval</w:t>
            </w:r>
          </w:p>
        </w:tc>
        <w:tc>
          <w:tcPr>
            <w:tcW w:w="1630" w:type="dxa"/>
            <w:vAlign w:val="center"/>
          </w:tcPr>
          <w:p w14:paraId="483F663C">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product name</w:t>
            </w:r>
          </w:p>
        </w:tc>
        <w:tc>
          <w:tcPr>
            <w:tcW w:w="720" w:type="dxa"/>
            <w:vAlign w:val="center"/>
          </w:tcPr>
          <w:p w14:paraId="1E8E35D7">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6"/>
                <w:kern w:val="0"/>
                <w:sz w:val="24"/>
                <w:szCs w:val="24"/>
                <w:lang w:val="en-US" w:eastAsia="zh-CN" w:bidi="ar-SA"/>
              </w:rPr>
              <w:t>quantity</w:t>
            </w:r>
          </w:p>
        </w:tc>
        <w:tc>
          <w:tcPr>
            <w:tcW w:w="1801" w:type="dxa"/>
            <w:vAlign w:val="center"/>
          </w:tcPr>
          <w:p w14:paraId="785DC26D">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Brief Technical Specifications</w:t>
            </w:r>
          </w:p>
        </w:tc>
        <w:tc>
          <w:tcPr>
            <w:tcW w:w="1445" w:type="dxa"/>
            <w:vAlign w:val="center"/>
          </w:tcPr>
          <w:p w14:paraId="561D8D3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63"/>
              <w:jc w:val="both"/>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3"/>
                <w:kern w:val="0"/>
                <w:sz w:val="24"/>
                <w:szCs w:val="24"/>
                <w:highlight w:val="none"/>
                <w:lang w:val="en-US" w:eastAsia="zh-CN" w:bidi="ar-SA"/>
              </w:rPr>
              <w:t>purchase budget</w:t>
            </w:r>
          </w:p>
          <w:p w14:paraId="1DF306E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56"/>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5"/>
                <w:kern w:val="0"/>
                <w:sz w:val="24"/>
                <w:szCs w:val="24"/>
                <w:highlight w:val="none"/>
                <w:lang w:val="en-US" w:eastAsia="zh-CN" w:bidi="ar-SA"/>
              </w:rPr>
              <w:t>（ Renminbi ：</w:t>
            </w:r>
          </w:p>
          <w:p w14:paraId="3E372BE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90"/>
              <w:jc w:val="center"/>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00000"/>
                <w:spacing w:val="-6"/>
                <w:kern w:val="0"/>
                <w:sz w:val="24"/>
                <w:szCs w:val="24"/>
                <w:highlight w:val="none"/>
                <w:lang w:val="en-US" w:eastAsia="zh-CN" w:bidi="ar-SA"/>
              </w:rPr>
              <w:t>Wan Yuan ）</w:t>
            </w:r>
          </w:p>
        </w:tc>
        <w:tc>
          <w:tcPr>
            <w:tcW w:w="1450" w:type="dxa"/>
            <w:vAlign w:val="center"/>
          </w:tcPr>
          <w:p w14:paraId="4DE8EEC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69"/>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ceiling price</w:t>
            </w:r>
          </w:p>
          <w:p w14:paraId="30846A8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58"/>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 Renminbi ：</w:t>
            </w:r>
          </w:p>
          <w:p w14:paraId="796512B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92"/>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Wan Yuan ）</w:t>
            </w:r>
          </w:p>
        </w:tc>
      </w:tr>
      <w:tr w14:paraId="1BC50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862" w:type="dxa"/>
            <w:vAlign w:val="top"/>
          </w:tcPr>
          <w:p w14:paraId="6B28EF74">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Gan Gu 2025B000138374</w:t>
            </w:r>
          </w:p>
        </w:tc>
        <w:tc>
          <w:tcPr>
            <w:tcW w:w="1630" w:type="dxa"/>
            <w:vAlign w:val="center"/>
          </w:tcPr>
          <w:p w14:paraId="471990F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right="114"/>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Laser and Pulsed Light Workstation</w:t>
            </w:r>
          </w:p>
        </w:tc>
        <w:tc>
          <w:tcPr>
            <w:tcW w:w="720" w:type="dxa"/>
            <w:vAlign w:val="center"/>
          </w:tcPr>
          <w:p w14:paraId="1B02854F">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00000"/>
                <w:kern w:val="0"/>
                <w:sz w:val="24"/>
                <w:szCs w:val="24"/>
                <w:lang w:val="en-US" w:eastAsia="zh-CN" w:bidi="ar-SA"/>
              </w:rPr>
              <w:t>1 unit</w:t>
            </w:r>
          </w:p>
        </w:tc>
        <w:tc>
          <w:tcPr>
            <w:tcW w:w="1801" w:type="dxa"/>
            <w:vAlign w:val="center"/>
          </w:tcPr>
          <w:p w14:paraId="058A2C87">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See the bidding documents for details</w:t>
            </w:r>
          </w:p>
        </w:tc>
        <w:tc>
          <w:tcPr>
            <w:tcW w:w="1445" w:type="dxa"/>
            <w:vAlign w:val="center"/>
          </w:tcPr>
          <w:p w14:paraId="6172F224">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pacing w:val="-3"/>
                <w:sz w:val="24"/>
                <w:szCs w:val="24"/>
                <w:lang w:val="en-US" w:eastAsia="zh-CN"/>
              </w:rPr>
            </w:pPr>
            <w:r>
              <w:rPr>
                <w:rFonts w:hint="eastAsia" w:ascii="Times New Roman" w:hAnsi="宋体" w:eastAsia="微软雅黑" w:cs="宋体"/>
                <w:snapToGrid w:val="0"/>
                <w:color w:val="000000"/>
                <w:spacing w:val="-3"/>
                <w:kern w:val="0"/>
                <w:sz w:val="24"/>
                <w:szCs w:val="24"/>
                <w:lang w:val="en-US" w:eastAsia="zh-CN" w:bidi="ar-SA"/>
              </w:rPr>
              <w:t>160.00</w:t>
            </w:r>
          </w:p>
        </w:tc>
        <w:tc>
          <w:tcPr>
            <w:tcW w:w="1450" w:type="dxa"/>
            <w:vAlign w:val="center"/>
          </w:tcPr>
          <w:p w14:paraId="0B2784DD">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pacing w:val="-3"/>
                <w:sz w:val="24"/>
                <w:szCs w:val="24"/>
                <w:lang w:val="en-US" w:eastAsia="zh-CN"/>
              </w:rPr>
            </w:pPr>
            <w:r>
              <w:rPr>
                <w:rFonts w:hint="eastAsia" w:ascii="Times New Roman" w:hAnsi="宋体" w:eastAsia="微软雅黑" w:cs="宋体"/>
                <w:snapToGrid w:val="0"/>
                <w:color w:val="000000"/>
                <w:spacing w:val="-3"/>
                <w:kern w:val="0"/>
                <w:sz w:val="24"/>
                <w:szCs w:val="24"/>
                <w:lang w:val="en-US" w:eastAsia="zh-CN" w:bidi="ar-SA"/>
              </w:rPr>
              <w:t>130.00</w:t>
            </w:r>
          </w:p>
        </w:tc>
      </w:tr>
    </w:tbl>
    <w:p w14:paraId="5D24FBF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9"/>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3. Bidder qualification or performance:</w:t>
      </w:r>
    </w:p>
    <w:p w14:paraId="603EB205">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1. Class II and Class III medical devices shall have the registration certificate of medical devices, and Class I medical devices shall have the product filing certificate;</w:t>
      </w:r>
    </w:p>
    <w:p w14:paraId="305C13EC">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The medical devices of class II and III produced in the territory of the People's Republic of China shall have the medical device production license, and the medical devices of class I shall have the medical device production filing certificate;</w:t>
      </w:r>
    </w:p>
    <w:p w14:paraId="3F6F7E3A">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3. Those who operate the third class of medical devices shall have the license of medical device trading enterprise, and those who operate the second class of medical devices shall have the registration certificate of medical device trading enterprise;</w:t>
      </w:r>
    </w:p>
    <w:p w14:paraId="7B10F602">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4. If the imported goods submitted by the bidder are not manufactured by the bidder, the bidder shall obtain the manufacturer's formal authorization or distribution authorization to provide the goods in this bid;</w:t>
      </w:r>
    </w:p>
    <w:p w14:paraId="5BE8746E">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color w:val="0D0D0D"/>
          <w:spacing w:val="-2"/>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5. Consortium bidding is not accepted for this project;</w:t>
      </w:r>
    </w:p>
    <w:p w14:paraId="401BA53B">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6. Bidders who have not obtained the bidding documents are not allowed to participate in the bidding.</w:t>
      </w:r>
    </w:p>
    <w:p w14:paraId="6580765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4. Obtaining the bidding documents and submitting the bidding documents</w:t>
      </w:r>
    </w:p>
    <w:p w14:paraId="51207524">
      <w:pPr>
        <w:keepNext w:val="0"/>
        <w:keepLines w:val="0"/>
        <w:pageBreakBefore w:val="0"/>
        <w:widowControl/>
        <w:kinsoku w:val="0"/>
        <w:wordWrap/>
        <w:overflowPunct/>
        <w:topLinePunct w:val="0"/>
        <w:autoSpaceDE w:val="0"/>
        <w:autoSpaceDN w:val="0"/>
        <w:bidi w:val="0"/>
        <w:adjustRightInd w:val="0"/>
        <w:snapToGrid w:val="0"/>
        <w:spacing w:line="500" w:lineRule="exact"/>
        <w:ind w:left="480" w:firstLine="18"/>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1"/>
          <w:kern w:val="0"/>
          <w:sz w:val="24"/>
          <w:szCs w:val="24"/>
          <w:highlight w:val="none"/>
          <w:lang w:val="en-US" w:eastAsia="zh-CN" w:bidi="ar-SA"/>
        </w:rPr>
        <w:t>1. The tender documents will be available for purchase from November 18,2025 to November 25,2025. The collection period is daily (excluding holidays) from 9:00 AM to 4:00 PM Beijing Time.</w:t>
      </w:r>
    </w:p>
    <w:p w14:paraId="3AAEFB0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color w:val="0D0D0D"/>
          <w:spacing w:val="2"/>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2. How to obtain the bidding documents: Collect them from Jiangxi Chengxin Weiye Bidding Consulting Co., Ltd., or send the materials to Jiangxi Chengxin Weiye Bidding Consulting Co., Ltd. email (jxcxwygs001@126.com) by email;</w:t>
      </w:r>
    </w:p>
    <w:p w14:paraId="0728C2CA">
      <w:pPr>
        <w:keepNext w:val="0"/>
        <w:keepLines w:val="0"/>
        <w:pageBreakBefore w:val="0"/>
        <w:widowControl/>
        <w:kinsoku w:val="0"/>
        <w:wordWrap/>
        <w:overflowPunct/>
        <w:topLinePunct w:val="0"/>
        <w:autoSpaceDE w:val="0"/>
        <w:autoSpaceDN w:val="0"/>
        <w:bidi w:val="0"/>
        <w:adjustRightInd w:val="0"/>
        <w:snapToGrid w:val="0"/>
        <w:spacing w:line="500" w:lineRule="exact"/>
        <w:ind w:left="497" w:right="61" w:hanging="22"/>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2"/>
          <w:kern w:val="0"/>
          <w:sz w:val="24"/>
          <w:szCs w:val="24"/>
          <w:highlight w:val="none"/>
          <w:lang w:val="en-US" w:eastAsia="zh-CN" w:bidi="ar-SA"/>
        </w:rPr>
        <w:t>3. Bid submission deadline (bid opening time): 14:30 on December 10,2025 (Beijing time);</w:t>
      </w:r>
    </w:p>
    <w:p w14:paraId="5DCA5F34">
      <w:pPr>
        <w:keepNext w:val="0"/>
        <w:keepLines w:val="0"/>
        <w:pageBreakBefore w:val="0"/>
        <w:widowControl/>
        <w:kinsoku w:val="0"/>
        <w:wordWrap/>
        <w:overflowPunct/>
        <w:topLinePunct w:val="0"/>
        <w:autoSpaceDE w:val="0"/>
        <w:autoSpaceDN w:val="0"/>
        <w:bidi w:val="0"/>
        <w:adjustRightInd w:val="0"/>
        <w:snapToGrid w:val="0"/>
        <w:spacing w:line="500" w:lineRule="exact"/>
        <w:ind w:left="235" w:leftChars="112" w:firstLine="196" w:firstLineChars="8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4. Place of delivery and bid opening: Jiangxi Chengxin Weiye Tender Consulting Co., LTD. (4th Floor, Nanchang Qingshanhu Investment Group Co., LTD., No.2119 Beijing East Road, Nanchang City, Jiangxi Province) Bid opening room;</w:t>
      </w:r>
    </w:p>
    <w:p w14:paraId="0EFAA9C8">
      <w:pPr>
        <w:keepNext w:val="0"/>
        <w:keepLines w:val="0"/>
        <w:pageBreakBefore w:val="0"/>
        <w:widowControl/>
        <w:kinsoku w:val="0"/>
        <w:wordWrap/>
        <w:overflowPunct/>
        <w:topLinePunct w:val="0"/>
        <w:autoSpaceDE w:val="0"/>
        <w:autoSpaceDN w:val="0"/>
        <w:bidi w:val="0"/>
        <w:adjustRightInd w:val="0"/>
        <w:snapToGrid w:val="0"/>
        <w:spacing w:line="500" w:lineRule="exact"/>
        <w:ind w:left="241" w:leftChars="115" w:right="120" w:firstLine="208" w:firstLineChars="9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5. Other requirements for bidders: Bidders must complete registration on the http://www.ebnew.com (or the Electronic Trading Platform for Mechanical and Electrical Products Bidding and Tendering (http://www.chinabidding.com)) before bidding; otherwise, they will not be able to participate in the bidding. Suppliers must register on the Jiangxi Provincial Public Resources Trading Network (URL: http://jxsggzy.cn/) and obtain a Jiangxi CA digital certificate, electronic signature, and information verification before bidding. Specific requirements are detailed on the "Jiangxi Provincial Government Procurement Network" (URL: http://www.ccgp-jiangxi.gov.cn/web/). The bid evaluation results will be published on the http://www.ebnew.com, China International Bidding Network, and Jiangxi Provincial Public Resources Trading Network.</w:t>
      </w:r>
    </w:p>
    <w:p w14:paraId="0E716692">
      <w:pPr>
        <w:keepNext w:val="0"/>
        <w:keepLines w:val="0"/>
        <w:pageBreakBefore w:val="0"/>
        <w:widowControl/>
        <w:kinsoku w:val="0"/>
        <w:wordWrap/>
        <w:overflowPunct/>
        <w:topLinePunct w:val="0"/>
        <w:autoSpaceDE w:val="0"/>
        <w:autoSpaceDN w:val="0"/>
        <w:bidi w:val="0"/>
        <w:adjustRightInd w:val="0"/>
        <w:snapToGrid w:val="0"/>
        <w:spacing w:line="500" w:lineRule="exact"/>
        <w:ind w:left="244" w:leftChars="116" w:right="39" w:firstLine="231" w:firstLineChars="99"/>
        <w:textAlignment w:val="baseline"/>
        <w:rPr>
          <w:rFonts w:hint="eastAsia" w:ascii="宋体" w:hAnsi="宋体" w:eastAsia="宋体" w:cs="宋体"/>
          <w:color w:val="0D0D0D"/>
          <w:spacing w:val="-3"/>
          <w:sz w:val="24"/>
          <w:szCs w:val="24"/>
          <w:lang w:eastAsia="zh-CN"/>
        </w:rPr>
      </w:pPr>
      <w:r>
        <w:rPr>
          <w:rFonts w:hint="eastAsia" w:ascii="Times New Roman" w:hAnsi="宋体" w:eastAsia="微软雅黑" w:cs="宋体"/>
          <w:snapToGrid w:val="0"/>
          <w:color w:val="0D0D0D"/>
          <w:spacing w:val="-3"/>
          <w:kern w:val="0"/>
          <w:sz w:val="24"/>
          <w:szCs w:val="24"/>
          <w:lang w:val="en-US" w:eastAsia="zh-CN" w:bidi="ar-SA"/>
        </w:rPr>
        <w:t>6. A separate sealed electronic tender document (stamped with the official seal) must be submitted. The document should be stored on a USB drive, sealed, and stamped with the official seal. The cover must specify the procurement number, project name, and supplier name, along with the notation "electronic tender document".</w:t>
      </w:r>
    </w:p>
    <w:p w14:paraId="55C5FB4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bCs/>
          <w:color w:val="0D0D0D"/>
          <w:spacing w:val="-4"/>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5. Contact Information</w:t>
      </w:r>
    </w:p>
    <w:p w14:paraId="410C745B">
      <w:pPr>
        <w:keepNext w:val="0"/>
        <w:keepLines w:val="0"/>
        <w:pageBreakBefore w:val="0"/>
        <w:widowControl/>
        <w:kinsoku w:val="0"/>
        <w:wordWrap/>
        <w:overflowPunct/>
        <w:topLinePunct w:val="0"/>
        <w:autoSpaceDE w:val="0"/>
        <w:autoSpaceDN w:val="0"/>
        <w:bidi w:val="0"/>
        <w:adjustRightInd w:val="0"/>
        <w:snapToGrid w:val="0"/>
        <w:spacing w:line="500" w:lineRule="exact"/>
        <w:ind w:left="24" w:firstLine="464"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4"/>
          <w:kern w:val="0"/>
          <w:sz w:val="24"/>
          <w:szCs w:val="24"/>
          <w:lang w:val="en-US" w:eastAsia="zh-CN" w:bidi="ar-SA"/>
        </w:rPr>
        <w:t>1. Tenderer: The First Affiliated Hospital of Nanchang University</w:t>
      </w:r>
    </w:p>
    <w:p w14:paraId="25614F51">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68" w:firstLineChars="200"/>
        <w:textAlignment w:val="baseline"/>
        <w:rPr>
          <w:rFonts w:hint="eastAsia" w:ascii="宋体" w:hAnsi="宋体" w:eastAsia="宋体" w:cs="宋体"/>
          <w:sz w:val="24"/>
          <w:szCs w:val="24"/>
          <w:highlight w:val="none"/>
          <w:lang w:eastAsia="zh-CN"/>
        </w:rPr>
      </w:pPr>
      <w:r>
        <w:rPr>
          <w:rFonts w:hint="eastAsia" w:ascii="Times New Roman" w:hAnsi="宋体" w:eastAsia="微软雅黑" w:cs="宋体"/>
          <w:snapToGrid w:val="0"/>
          <w:color w:val="0D0D0D"/>
          <w:spacing w:val="-3"/>
          <w:kern w:val="0"/>
          <w:sz w:val="24"/>
          <w:szCs w:val="24"/>
          <w:highlight w:val="none"/>
          <w:lang w:val="en-US" w:eastAsia="zh-CN" w:bidi="ar-SA"/>
        </w:rPr>
        <w:t>Address: No.17 Yongwai Main Street, Nanchang City, Jiangxi Province</w:t>
      </w:r>
    </w:p>
    <w:p w14:paraId="525AA752">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80" w:firstLineChars="200"/>
        <w:textAlignment w:val="baseline"/>
        <w:rPr>
          <w:rFonts w:hint="eastAsia" w:ascii="宋体" w:hAnsi="宋体" w:eastAsia="宋体" w:cs="宋体"/>
          <w:sz w:val="24"/>
          <w:szCs w:val="24"/>
          <w:highlight w:val="none"/>
          <w:lang w:val="en-US" w:eastAsia="zh-CN"/>
        </w:rPr>
      </w:pPr>
      <w:r>
        <w:rPr>
          <w:rFonts w:hint="eastAsia" w:ascii="Times New Roman" w:hAnsi="宋体" w:eastAsia="微软雅黑" w:cs="宋体"/>
          <w:snapToGrid w:val="0"/>
          <w:color w:val="auto"/>
          <w:kern w:val="0"/>
          <w:sz w:val="24"/>
          <w:szCs w:val="24"/>
          <w:highlight w:val="none"/>
          <w:u w:val="none"/>
          <w:lang w:val="en-US" w:eastAsia="zh-CN" w:bidi="ar-SA"/>
        </w:rPr>
        <w:t>Contact: Mr.Zhou</w:t>
      </w:r>
    </w:p>
    <w:p w14:paraId="78AF118B">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number: 0791-88692281</w:t>
      </w:r>
    </w:p>
    <w:p w14:paraId="0DA278C3">
      <w:pPr>
        <w:keepNext w:val="0"/>
        <w:keepLines w:val="0"/>
        <w:pageBreakBefore w:val="0"/>
        <w:widowControl/>
        <w:kinsoku w:val="0"/>
        <w:wordWrap/>
        <w:overflowPunct/>
        <w:topLinePunct w:val="0"/>
        <w:autoSpaceDE w:val="0"/>
        <w:autoSpaceDN w:val="0"/>
        <w:bidi w:val="0"/>
        <w:adjustRightInd w:val="0"/>
        <w:snapToGrid w:val="0"/>
        <w:spacing w:line="500" w:lineRule="exact"/>
        <w:ind w:left="1"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2. Bidding agency: Jiangxi Chengxin Weiye Bidding Consulting Co., LTD</w:t>
      </w:r>
    </w:p>
    <w:p w14:paraId="467EAB93">
      <w:pPr>
        <w:keepNext w:val="0"/>
        <w:keepLines w:val="0"/>
        <w:pageBreakBefore w:val="0"/>
        <w:widowControl/>
        <w:kinsoku w:val="0"/>
        <w:wordWrap/>
        <w:overflowPunct/>
        <w:topLinePunct w:val="0"/>
        <w:autoSpaceDE w:val="0"/>
        <w:autoSpaceDN w:val="0"/>
        <w:bidi w:val="0"/>
        <w:adjustRightInd w:val="0"/>
        <w:snapToGrid w:val="0"/>
        <w:spacing w:line="500" w:lineRule="exact"/>
        <w:ind w:left="5" w:firstLine="480"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kern w:val="0"/>
          <w:sz w:val="24"/>
          <w:szCs w:val="24"/>
          <w:lang w:val="en-US" w:eastAsia="zh-CN" w:bidi="ar-SA"/>
        </w:rPr>
        <w:t>Address: 4th Floor, Nanchang Qingshanhu Investment Group Co., LTD., No.2119 Beijing East Road, Nanchang City, Jiangxi Province</w:t>
      </w:r>
    </w:p>
    <w:p w14:paraId="0DEA4778">
      <w:pPr>
        <w:keepNext w:val="0"/>
        <w:keepLines w:val="0"/>
        <w:pageBreakBefore w:val="0"/>
        <w:widowControl/>
        <w:kinsoku w:val="0"/>
        <w:wordWrap/>
        <w:overflowPunct/>
        <w:topLinePunct w:val="0"/>
        <w:autoSpaceDE w:val="0"/>
        <w:autoSpaceDN w:val="0"/>
        <w:bidi w:val="0"/>
        <w:adjustRightInd w:val="0"/>
        <w:snapToGrid w:val="0"/>
        <w:spacing w:line="500" w:lineRule="exact"/>
        <w:ind w:left="23" w:firstLine="464"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4"/>
          <w:kern w:val="0"/>
          <w:sz w:val="24"/>
          <w:szCs w:val="24"/>
          <w:lang w:val="en-US" w:eastAsia="zh-CN" w:bidi="ar-SA"/>
        </w:rPr>
        <w:t>Zip code: 330000</w:t>
      </w:r>
    </w:p>
    <w:p w14:paraId="36F529DE">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default" w:ascii="宋体" w:hAnsi="宋体" w:eastAsia="宋体" w:cs="宋体"/>
          <w:sz w:val="24"/>
          <w:szCs w:val="24"/>
          <w:lang w:val="en-US" w:eastAsia="zh-CN"/>
        </w:rPr>
      </w:pPr>
      <w:r>
        <w:rPr>
          <w:rFonts w:hint="eastAsia" w:ascii="Times New Roman" w:hAnsi="宋体" w:eastAsia="微软雅黑" w:cs="宋体"/>
          <w:snapToGrid w:val="0"/>
          <w:color w:val="0D0D0D"/>
          <w:spacing w:val="-1"/>
          <w:kern w:val="0"/>
          <w:sz w:val="24"/>
          <w:szCs w:val="24"/>
          <w:lang w:val="en-US" w:eastAsia="zh-CN" w:bidi="ar-SA"/>
        </w:rPr>
        <w:t>Contact: Yang Chen, Zhang Wei, Liu Leizhen, Chen Jian, Zhang Qian, Wang Jian</w:t>
      </w:r>
    </w:p>
    <w:p w14:paraId="1C5C5C14">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Contact number: 0791-83810722;</w:t>
      </w:r>
    </w:p>
    <w:p w14:paraId="1604B4EB">
      <w:pPr>
        <w:keepNext w:val="0"/>
        <w:keepLines w:val="0"/>
        <w:pageBreakBefore w:val="0"/>
        <w:widowControl/>
        <w:kinsoku w:val="0"/>
        <w:wordWrap/>
        <w:overflowPunct/>
        <w:topLinePunct w:val="0"/>
        <w:autoSpaceDE w:val="0"/>
        <w:autoSpaceDN w:val="0"/>
        <w:bidi w:val="0"/>
        <w:adjustRightInd w:val="0"/>
        <w:snapToGrid w:val="0"/>
        <w:spacing w:line="500" w:lineRule="exact"/>
        <w:ind w:left="33"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Email: jxcxwygs001@126.com</w:t>
      </w:r>
    </w:p>
    <w:p w14:paraId="481704C2">
      <w:pPr>
        <w:keepNext w:val="0"/>
        <w:keepLines w:val="0"/>
        <w:pageBreakBefore w:val="0"/>
        <w:widowControl/>
        <w:kinsoku w:val="0"/>
        <w:wordWrap/>
        <w:overflowPunct/>
        <w:topLinePunct w:val="0"/>
        <w:autoSpaceDE w:val="0"/>
        <w:autoSpaceDN w:val="0"/>
        <w:bidi w:val="0"/>
        <w:adjustRightInd w:val="0"/>
        <w:snapToGrid w:val="0"/>
        <w:spacing w:line="500" w:lineRule="exact"/>
        <w:ind w:left="7"/>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D0D0D"/>
          <w:spacing w:val="-4"/>
          <w:kern w:val="0"/>
          <w:sz w:val="24"/>
          <w:szCs w:val="24"/>
          <w:lang w:val="en-US" w:eastAsia="zh-CN" w:bidi="ar-SA"/>
        </w:rPr>
        <w:t>VI. Remittance Method</w:t>
      </w:r>
    </w:p>
    <w:p w14:paraId="5FC4EB90">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2"/>
          <w:kern w:val="0"/>
          <w:sz w:val="24"/>
          <w:szCs w:val="24"/>
          <w:lang w:val="en-US" w:eastAsia="zh-CN" w:bidi="ar-SA"/>
        </w:rPr>
        <w:t>Account Name: Jiangxi Chengxin Weiye Tendering Consulting Co., LTD</w:t>
      </w:r>
    </w:p>
    <w:p w14:paraId="287A8006">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512"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8"/>
          <w:kern w:val="0"/>
          <w:sz w:val="24"/>
          <w:szCs w:val="24"/>
          <w:lang w:val="en-US" w:eastAsia="zh-CN" w:bidi="ar-SA"/>
        </w:rPr>
        <w:t>Bank (RMB): Bank of China Nanchang Honggutan Branch Business Department</w:t>
      </w:r>
    </w:p>
    <w:p w14:paraId="6E309375">
      <w:pPr>
        <w:keepNext w:val="0"/>
        <w:keepLines w:val="0"/>
        <w:pageBreakBefore w:val="0"/>
        <w:widowControl/>
        <w:kinsoku w:val="0"/>
        <w:wordWrap/>
        <w:overflowPunct/>
        <w:topLinePunct w:val="0"/>
        <w:autoSpaceDE w:val="0"/>
        <w:autoSpaceDN w:val="0"/>
        <w:bidi w:val="0"/>
        <w:adjustRightInd w:val="0"/>
        <w:snapToGrid w:val="0"/>
        <w:spacing w:line="500" w:lineRule="exact"/>
        <w:ind w:left="6" w:firstLine="476" w:firstLineChars="20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D0D0D"/>
          <w:spacing w:val="-1"/>
          <w:kern w:val="0"/>
          <w:sz w:val="24"/>
          <w:szCs w:val="24"/>
          <w:lang w:val="en-US" w:eastAsia="zh-CN" w:bidi="ar-SA"/>
        </w:rPr>
        <w:t>Bank account: 193228263586</w:t>
      </w:r>
    </w:p>
    <w:p w14:paraId="3C9A1F4A">
      <w:pPr>
        <w:spacing w:line="220" w:lineRule="auto"/>
        <w:rPr>
          <w:rFonts w:ascii="Times New Roman" w:hAnsi="Times New Roman" w:eastAsia="Times New Roman" w:cs="Times New Roman"/>
          <w:sz w:val="24"/>
          <w:szCs w:val="24"/>
        </w:rPr>
        <w:sectPr>
          <w:footerReference r:id="rId7" w:type="default"/>
          <w:pgSz w:w="11910" w:h="16840"/>
          <w:pgMar w:top="1431" w:right="1038" w:bottom="1172" w:left="1755" w:header="0" w:footer="955" w:gutter="0"/>
          <w:cols w:space="720" w:num="1"/>
        </w:sectPr>
      </w:pPr>
    </w:p>
    <w:p w14:paraId="1804BEC1">
      <w:pPr>
        <w:spacing w:before="204" w:line="227" w:lineRule="auto"/>
        <w:ind w:left="3103"/>
        <w:outlineLvl w:val="0"/>
        <w:rPr>
          <w:rFonts w:hint="eastAsia" w:ascii="黑体" w:hAnsi="黑体" w:eastAsia="黑体" w:cs="黑体"/>
          <w:sz w:val="35"/>
          <w:szCs w:val="35"/>
          <w:lang w:eastAsia="zh-CN"/>
        </w:rPr>
      </w:pPr>
      <w:bookmarkStart w:id="1" w:name="_Toc10479"/>
      <w:r>
        <w:rPr>
          <w:rFonts w:hint="eastAsia" w:ascii="Times New Roman" w:hAnsi="黑体" w:eastAsia="微软雅黑" w:cs="黑体"/>
          <w:b/>
          <w:bCs/>
          <w:snapToGrid w:val="0"/>
          <w:color w:val="000000"/>
          <w:spacing w:val="5"/>
          <w:kern w:val="0"/>
          <w:sz w:val="35"/>
          <w:szCs w:val="35"/>
          <w:lang w:val="en-US" w:eastAsia="zh-CN" w:bidi="ar-SA"/>
        </w:rPr>
        <w:t>Chapter 6 Bid Data Sheet</w:t>
      </w:r>
      <w:bookmarkEnd w:id="1"/>
    </w:p>
    <w:p w14:paraId="71C5F16A">
      <w:pPr>
        <w:pStyle w:val="5"/>
        <w:spacing w:line="336" w:lineRule="auto"/>
      </w:pPr>
    </w:p>
    <w:p w14:paraId="18C08291">
      <w:pPr>
        <w:spacing w:before="78" w:line="343" w:lineRule="auto"/>
        <w:ind w:left="125" w:right="307" w:firstLine="480"/>
        <w:rPr>
          <w:rFonts w:hint="eastAsia" w:ascii="宋体" w:hAnsi="宋体" w:eastAsia="宋体" w:cs="宋体"/>
          <w:sz w:val="24"/>
          <w:szCs w:val="24"/>
          <w:lang w:eastAsia="zh-CN"/>
        </w:rPr>
      </w:pPr>
      <w:r>
        <w:rPr>
          <w:rFonts w:ascii="Times New Roman" w:eastAsia="微软雅黑"/>
        </w:rPr>
        <mc:AlternateContent>
          <mc:Choice Requires="wps">
            <w:drawing>
              <wp:anchor distT="0" distB="0" distL="114300" distR="114300" simplePos="0" relativeHeight="251659264" behindDoc="1" locked="0" layoutInCell="1" allowOverlap="1">
                <wp:simplePos x="0" y="0"/>
                <wp:positionH relativeFrom="column">
                  <wp:posOffset>5141595</wp:posOffset>
                </wp:positionH>
                <wp:positionV relativeFrom="paragraph">
                  <wp:posOffset>8195310</wp:posOffset>
                </wp:positionV>
                <wp:extent cx="591185"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1185" cy="161925"/>
                        </a:xfrm>
                        <a:prstGeom prst="rect">
                          <a:avLst/>
                        </a:prstGeom>
                        <a:noFill/>
                        <a:ln>
                          <a:noFill/>
                        </a:ln>
                      </wps:spPr>
                      <wps:txbx>
                        <w:txbxContent>
                          <w:p w14:paraId="4BAF67E8">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Information Form</w:t>
                            </w:r>
                          </w:p>
                        </w:txbxContent>
                      </wps:txbx>
                      <wps:bodyPr lIns="0" tIns="0" rIns="0" bIns="0" upright="1"/>
                    </wps:wsp>
                  </a:graphicData>
                </a:graphic>
              </wp:anchor>
            </w:drawing>
          </mc:Choice>
          <mc:Fallback>
            <w:pict>
              <v:shape id="_x0000_s1026" o:spid="_x0000_s1026" o:spt="202" type="#_x0000_t202" style="position:absolute;left:0pt;margin-left:404.85pt;margin-top:645.3pt;height:12.75pt;width:46.55pt;z-index:-251657216;mso-width-relative:page;mso-height-relative:page;" filled="f" stroked="f" coordsize="21600,21600" o:gfxdata="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48UEtoAAAANAQAADwAAAAAAAAABACAAAAAiAAAAZHJzL2Rvd25yZXYueG1sUEsB&#10;AhQAFAAAAAgAh07iQJ/MUTa6AQAAcQMAAA4AAAAAAAAAAQAgAAAAKQEAAGRycy9lMm9Eb2MueG1s&#10;UEsFBgAAAAAGAAYAWQEAAFUFAAAAAA==&#10;">
                <v:fill on="f" focussize="0,0"/>
                <v:stroke on="f"/>
                <v:imagedata o:title=""/>
                <o:lock v:ext="edit" aspectratio="f"/>
                <v:textbox inset="0mm,0mm,0mm,0mm">
                  <w:txbxContent>
                    <w:p w14:paraId="4BAF67E8">
                      <w:pPr>
                        <w:spacing w:before="20" w:line="220" w:lineRule="auto"/>
                        <w:ind w:left="20"/>
                        <w:rPr>
                          <w:rFonts w:hint="eastAsia" w:ascii="宋体" w:hAnsi="宋体" w:eastAsia="宋体" w:cs="宋体"/>
                          <w:sz w:val="18"/>
                          <w:szCs w:val="18"/>
                          <w:highlight w:val="yellow"/>
                          <w:lang w:eastAsia="zh-CN"/>
                        </w:rPr>
                      </w:pPr>
                      <w:r>
                        <w:rPr>
                          <w:rFonts w:hint="eastAsia" w:ascii="Times New Roman" w:hAnsi="宋体" w:eastAsia="微软雅黑" w:cs="宋体"/>
                          <w:snapToGrid w:val="0"/>
                          <w:color w:val="000000"/>
                          <w:spacing w:val="-2"/>
                          <w:kern w:val="0"/>
                          <w:sz w:val="18"/>
                          <w:szCs w:val="18"/>
                          <w:highlight w:val="yellow"/>
                          <w:lang w:val="en-US" w:eastAsia="zh-CN" w:bidi="ar-SA"/>
                        </w:rPr>
                        <w:t>Bid Information Form</w:t>
                      </w:r>
                    </w:p>
                  </w:txbxContent>
                </v:textbox>
              </v:shape>
            </w:pict>
          </mc:Fallback>
        </mc:AlternateContent>
      </w:r>
      <w:r>
        <w:rPr>
          <w:rFonts w:hint="eastAsia" w:ascii="Times New Roman" w:hAnsi="宋体" w:eastAsia="微软雅黑" w:cs="宋体"/>
          <w:snapToGrid w:val="0"/>
          <w:color w:val="000000"/>
          <w:spacing w:val="-2"/>
          <w:kern w:val="0"/>
          <w:sz w:val="24"/>
          <w:szCs w:val="24"/>
          <w:lang w:val="en-US" w:eastAsia="zh-CN" w:bidi="ar-SA"/>
        </w:rPr>
        <w:t>The specific information about the goods to be purchased in this table is a specific supplement and modification to the instructions to the bidder. In case of contradiction, this information sheet shall prevail.</w:t>
      </w:r>
    </w:p>
    <w:tbl>
      <w:tblPr>
        <w:tblStyle w:val="16"/>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3454"/>
        <w:gridCol w:w="4969"/>
      </w:tblGrid>
      <w:tr w14:paraId="7EE2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57" w:type="dxa"/>
            <w:vAlign w:val="center"/>
          </w:tcPr>
          <w:p w14:paraId="3F62624D">
            <w:pPr>
              <w:pStyle w:val="17"/>
              <w:spacing w:before="79" w:line="219" w:lineRule="auto"/>
              <w:ind w:left="120"/>
              <w:jc w:val="center"/>
              <w:rPr>
                <w:rFonts w:hint="eastAsia" w:eastAsia="宋体"/>
                <w:lang w:eastAsia="zh-CN"/>
              </w:rPr>
            </w:pPr>
            <w:r>
              <w:rPr>
                <w:rFonts w:hint="eastAsia" w:ascii="Times New Roman" w:hAnsi="宋体" w:eastAsia="微软雅黑" w:cs="宋体"/>
                <w:b/>
                <w:bCs/>
                <w:snapToGrid w:val="0"/>
                <w:color w:val="000000"/>
                <w:spacing w:val="-6"/>
                <w:kern w:val="0"/>
                <w:sz w:val="24"/>
                <w:szCs w:val="24"/>
                <w:lang w:val="en-US" w:eastAsia="zh-CN" w:bidi="ar-SA"/>
              </w:rPr>
              <w:t>regulation number</w:t>
            </w:r>
          </w:p>
        </w:tc>
        <w:tc>
          <w:tcPr>
            <w:tcW w:w="8423" w:type="dxa"/>
            <w:gridSpan w:val="2"/>
            <w:vAlign w:val="center"/>
          </w:tcPr>
          <w:p w14:paraId="2A2E954B">
            <w:pPr>
              <w:pStyle w:val="17"/>
              <w:spacing w:before="45" w:line="220" w:lineRule="auto"/>
              <w:ind w:left="3971"/>
              <w:jc w:val="left"/>
              <w:rPr>
                <w:rFonts w:hint="eastAsia" w:eastAsia="宋体"/>
                <w:sz w:val="28"/>
                <w:szCs w:val="28"/>
                <w:lang w:eastAsia="zh-CN"/>
              </w:rPr>
            </w:pPr>
            <w:r>
              <w:rPr>
                <w:rFonts w:hint="eastAsia" w:ascii="Times New Roman" w:hAnsi="宋体" w:eastAsia="微软雅黑" w:cs="宋体"/>
                <w:b/>
                <w:bCs/>
                <w:snapToGrid w:val="0"/>
                <w:color w:val="000000"/>
                <w:spacing w:val="-25"/>
                <w:kern w:val="0"/>
                <w:sz w:val="28"/>
                <w:szCs w:val="28"/>
                <w:lang w:val="en-US" w:eastAsia="zh-CN" w:bidi="ar-SA"/>
              </w:rPr>
              <w:t>content</w:t>
            </w:r>
          </w:p>
        </w:tc>
      </w:tr>
      <w:tr w14:paraId="2263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480" w:type="dxa"/>
            <w:gridSpan w:val="3"/>
            <w:vAlign w:val="top"/>
          </w:tcPr>
          <w:p w14:paraId="7C68637B">
            <w:pPr>
              <w:pStyle w:val="17"/>
              <w:spacing w:before="42" w:line="220" w:lineRule="auto"/>
              <w:ind w:left="4120"/>
              <w:rPr>
                <w:rFonts w:hint="eastAsia" w:eastAsia="宋体"/>
                <w:sz w:val="28"/>
                <w:szCs w:val="28"/>
                <w:lang w:eastAsia="zh-CN"/>
              </w:rPr>
            </w:pPr>
            <w:r>
              <w:rPr>
                <w:rFonts w:hint="eastAsia" w:ascii="Times New Roman" w:hAnsi="宋体" w:eastAsia="微软雅黑" w:cs="宋体"/>
                <w:b/>
                <w:bCs/>
                <w:snapToGrid w:val="0"/>
                <w:color w:val="000000"/>
                <w:spacing w:val="-16"/>
                <w:kern w:val="0"/>
                <w:sz w:val="28"/>
                <w:szCs w:val="28"/>
                <w:lang w:val="en-US" w:eastAsia="zh-CN" w:bidi="ar-SA"/>
              </w:rPr>
              <w:t>I. Description</w:t>
            </w:r>
          </w:p>
        </w:tc>
      </w:tr>
      <w:tr w14:paraId="1DF1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Merge w:val="restart"/>
            <w:tcBorders>
              <w:bottom w:val="nil"/>
            </w:tcBorders>
            <w:vAlign w:val="center"/>
          </w:tcPr>
          <w:p w14:paraId="605A69B6">
            <w:pPr>
              <w:pStyle w:val="17"/>
              <w:spacing w:before="78" w:line="239" w:lineRule="auto"/>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1.2</w:t>
            </w:r>
          </w:p>
        </w:tc>
        <w:tc>
          <w:tcPr>
            <w:tcW w:w="8423" w:type="dxa"/>
            <w:gridSpan w:val="2"/>
            <w:vAlign w:val="center"/>
          </w:tcPr>
          <w:p w14:paraId="5FBFD88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eastAsia="宋体"/>
                <w:lang w:eastAsia="zh-CN"/>
              </w:rPr>
            </w:pPr>
            <w:r>
              <w:rPr>
                <w:rFonts w:hint="eastAsia" w:ascii="Times New Roman" w:hAnsi="宋体" w:eastAsia="微软雅黑" w:cs="宋体"/>
                <w:snapToGrid w:val="0"/>
                <w:color w:val="000000"/>
                <w:spacing w:val="-1"/>
                <w:kern w:val="0"/>
                <w:sz w:val="24"/>
                <w:szCs w:val="24"/>
                <w:lang w:val="en-US" w:eastAsia="zh-CN" w:bidi="ar-SA"/>
              </w:rPr>
              <w:t>Project Name: Laser and Pulsed Light Workstation Introduction Project at Nanchang University First Affiliated Hospital</w:t>
            </w:r>
          </w:p>
          <w:p w14:paraId="2E55EC1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jc w:val="left"/>
              <w:textAlignment w:val="baseline"/>
              <w:rPr>
                <w:rFonts w:hint="eastAsia" w:eastAsia="宋体"/>
                <w:lang w:eastAsia="zh-CN"/>
              </w:rPr>
            </w:pPr>
            <w:r>
              <w:rPr>
                <w:rFonts w:hint="eastAsia" w:ascii="Times New Roman" w:hAnsi="宋体" w:eastAsia="微软雅黑" w:cs="宋体"/>
                <w:snapToGrid w:val="0"/>
                <w:color w:val="000000"/>
                <w:spacing w:val="-1"/>
                <w:kern w:val="0"/>
                <w:sz w:val="24"/>
                <w:szCs w:val="24"/>
                <w:lang w:val="en-US" w:eastAsia="zh-CN" w:bidi="ar-SA"/>
              </w:rPr>
              <w:t>Bidding number: 1493-256110111137</w:t>
            </w:r>
          </w:p>
        </w:tc>
      </w:tr>
      <w:tr w14:paraId="16E1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Merge w:val="continue"/>
            <w:tcBorders>
              <w:top w:val="nil"/>
              <w:bottom w:val="nil"/>
            </w:tcBorders>
            <w:vAlign w:val="top"/>
          </w:tcPr>
          <w:p w14:paraId="25CA582C">
            <w:pPr>
              <w:jc w:val="center"/>
              <w:rPr>
                <w:rFonts w:ascii="Arial"/>
                <w:sz w:val="21"/>
              </w:rPr>
            </w:pPr>
          </w:p>
        </w:tc>
        <w:tc>
          <w:tcPr>
            <w:tcW w:w="8423" w:type="dxa"/>
            <w:gridSpan w:val="2"/>
            <w:vAlign w:val="center"/>
          </w:tcPr>
          <w:p w14:paraId="0ED9314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Name of purchaser: First Affiliated Hospital of Nanchang University</w:t>
            </w:r>
          </w:p>
          <w:p w14:paraId="0E2E4B7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of purchaser: No.17 Yongwai Main Street, Nanchang City, Jiangxi Province</w:t>
            </w:r>
          </w:p>
          <w:p w14:paraId="4821421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Contact number of purchaser: 0791-88692281</w:t>
            </w:r>
          </w:p>
        </w:tc>
      </w:tr>
      <w:tr w14:paraId="7937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1057" w:type="dxa"/>
            <w:vMerge w:val="continue"/>
            <w:tcBorders>
              <w:top w:val="nil"/>
            </w:tcBorders>
            <w:vAlign w:val="top"/>
          </w:tcPr>
          <w:p w14:paraId="07A073B6">
            <w:pPr>
              <w:jc w:val="center"/>
              <w:rPr>
                <w:rFonts w:ascii="Arial"/>
                <w:sz w:val="21"/>
              </w:rPr>
            </w:pPr>
          </w:p>
        </w:tc>
        <w:tc>
          <w:tcPr>
            <w:tcW w:w="8423" w:type="dxa"/>
            <w:gridSpan w:val="2"/>
            <w:vAlign w:val="top"/>
          </w:tcPr>
          <w:p w14:paraId="4781E9E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Procurement agency: Jiangxi Chengxin Weiye Tender Consulting Co., LTD</w:t>
            </w:r>
          </w:p>
          <w:p w14:paraId="381A636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00000"/>
                <w:spacing w:val="-1"/>
                <w:kern w:val="0"/>
                <w:sz w:val="24"/>
                <w:szCs w:val="24"/>
                <w:lang w:val="en-US" w:eastAsia="zh-CN" w:bidi="ar-SA"/>
              </w:rPr>
              <w:t>Address: 4th Floor, Nanchang Qingshanhu Investment Group Co., LTD., No.2119 Beijing East Road, Nanchang City, Jiangxi Province</w:t>
            </w:r>
          </w:p>
          <w:p w14:paraId="35E0A89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8"/>
                <w:kern w:val="0"/>
                <w:sz w:val="24"/>
                <w:szCs w:val="24"/>
                <w:lang w:val="en-US" w:eastAsia="zh-CN" w:bidi="ar-SA"/>
              </w:rPr>
              <w:t>Bank: Bank of China Nanchang Honggutan Branch</w:t>
            </w:r>
          </w:p>
          <w:p w14:paraId="43CEB49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jc w:val="left"/>
              <w:textAlignment w:val="baseline"/>
              <w:rPr>
                <w:rFonts w:hint="eastAsia" w:ascii="宋体" w:hAnsi="宋体" w:eastAsia="宋体" w:cs="宋体"/>
                <w:spacing w:val="-1"/>
                <w:lang w:eastAsia="zh-CN"/>
              </w:rPr>
            </w:pPr>
            <w:r>
              <w:rPr>
                <w:rFonts w:hint="eastAsia" w:ascii="Times New Roman" w:hAnsi="宋体" w:eastAsia="微软雅黑" w:cs="宋体"/>
                <w:snapToGrid w:val="0"/>
                <w:color w:val="0D0D0D"/>
                <w:spacing w:val="-1"/>
                <w:kern w:val="0"/>
                <w:sz w:val="24"/>
                <w:szCs w:val="24"/>
                <w:lang w:val="en-US" w:eastAsia="zh-CN" w:bidi="ar-SA"/>
              </w:rPr>
              <w:t>Account number: 193228263586</w:t>
            </w:r>
          </w:p>
        </w:tc>
      </w:tr>
      <w:tr w14:paraId="0BDB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57" w:type="dxa"/>
            <w:vAlign w:val="center"/>
          </w:tcPr>
          <w:p w14:paraId="6AE70E2A">
            <w:pPr>
              <w:pStyle w:val="17"/>
              <w:spacing w:before="35" w:line="239" w:lineRule="auto"/>
              <w:ind w:left="135"/>
              <w:jc w:val="center"/>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1.3</w:t>
            </w:r>
          </w:p>
        </w:tc>
        <w:tc>
          <w:tcPr>
            <w:tcW w:w="8423" w:type="dxa"/>
            <w:gridSpan w:val="2"/>
            <w:vAlign w:val="center"/>
          </w:tcPr>
          <w:p w14:paraId="15B2748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53"/>
              <w:jc w:val="left"/>
              <w:textAlignment w:val="baseline"/>
              <w:rPr>
                <w:rFonts w:hint="eastAsia" w:eastAsia="宋体"/>
                <w:lang w:eastAsia="zh-CN"/>
              </w:rPr>
            </w:pPr>
            <w:r>
              <w:rPr>
                <w:rFonts w:hint="eastAsia" w:ascii="Times New Roman" w:hAnsi="宋体" w:eastAsia="微软雅黑" w:cs="宋体"/>
                <w:snapToGrid w:val="0"/>
                <w:color w:val="000000"/>
                <w:spacing w:val="-10"/>
                <w:kern w:val="0"/>
                <w:sz w:val="24"/>
                <w:szCs w:val="24"/>
                <w:lang w:val="en-US" w:eastAsia="zh-CN" w:bidi="ar-SA"/>
              </w:rPr>
              <w:t>funds in the hands of the localities 。</w:t>
            </w:r>
          </w:p>
        </w:tc>
      </w:tr>
      <w:tr w14:paraId="4C5C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3E63D186">
            <w:pPr>
              <w:spacing w:line="422" w:lineRule="auto"/>
              <w:jc w:val="center"/>
              <w:rPr>
                <w:rFonts w:ascii="Arial"/>
                <w:sz w:val="21"/>
              </w:rPr>
            </w:pPr>
          </w:p>
          <w:p w14:paraId="409B5C1D">
            <w:pPr>
              <w:pStyle w:val="17"/>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2.2</w:t>
            </w:r>
          </w:p>
        </w:tc>
        <w:tc>
          <w:tcPr>
            <w:tcW w:w="8423" w:type="dxa"/>
            <w:gridSpan w:val="2"/>
            <w:vAlign w:val="top"/>
          </w:tcPr>
          <w:p w14:paraId="5C30F7E7">
            <w:pPr>
              <w:pStyle w:val="17"/>
              <w:keepNext w:val="0"/>
              <w:keepLines w:val="0"/>
              <w:pageBreakBefore w:val="0"/>
              <w:widowControl/>
              <w:kinsoku w:val="0"/>
              <w:wordWrap/>
              <w:overflowPunct/>
              <w:topLinePunct w:val="0"/>
              <w:autoSpaceDE w:val="0"/>
              <w:autoSpaceDN w:val="0"/>
              <w:bidi w:val="0"/>
              <w:adjustRightInd w:val="0"/>
              <w:snapToGrid w:val="0"/>
              <w:spacing w:before="38" w:line="500" w:lineRule="exact"/>
              <w:ind w:left="113" w:right="155" w:firstLine="13"/>
              <w:textAlignment w:val="baseline"/>
              <w:rPr>
                <w:rFonts w:hint="default" w:eastAsia="宋体"/>
                <w:lang w:val="en-US" w:eastAsia="zh-CN"/>
              </w:rPr>
            </w:pPr>
            <w:r>
              <w:rPr>
                <w:rFonts w:hint="eastAsia" w:ascii="Times New Roman" w:hAnsi="宋体" w:eastAsia="微软雅黑" w:cs="宋体"/>
                <w:snapToGrid w:val="0"/>
                <w:color w:val="000000"/>
                <w:spacing w:val="-2"/>
                <w:kern w:val="0"/>
                <w:sz w:val="24"/>
                <w:szCs w:val="24"/>
                <w:lang w:val="en-US" w:eastAsia="zh-CN" w:bidi="ar-SA"/>
              </w:rPr>
              <w:t>Unless otherwise specified, any legal person or other organization from the People's Republic of China or any country or region with normal trade relations with the People's Republic of China (hereinafter referred to as "qualified source country/region") is eligible to bid.</w:t>
            </w:r>
          </w:p>
        </w:tc>
      </w:tr>
      <w:tr w14:paraId="0B0D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top"/>
          </w:tcPr>
          <w:p w14:paraId="5F76858E">
            <w:pPr>
              <w:spacing w:line="423" w:lineRule="auto"/>
              <w:jc w:val="center"/>
              <w:rPr>
                <w:rFonts w:ascii="Arial"/>
                <w:sz w:val="21"/>
              </w:rPr>
            </w:pPr>
          </w:p>
          <w:p w14:paraId="082C4610">
            <w:pPr>
              <w:pStyle w:val="17"/>
              <w:spacing w:before="78" w:line="239" w:lineRule="auto"/>
              <w:ind w:left="121"/>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2.8</w:t>
            </w:r>
          </w:p>
        </w:tc>
        <w:tc>
          <w:tcPr>
            <w:tcW w:w="8423" w:type="dxa"/>
            <w:gridSpan w:val="2"/>
            <w:vAlign w:val="top"/>
          </w:tcPr>
          <w:p w14:paraId="1DBD039C">
            <w:pPr>
              <w:pStyle w:val="17"/>
              <w:spacing w:before="37" w:line="348" w:lineRule="auto"/>
              <w:ind w:left="100" w:right="270" w:firstLine="14"/>
              <w:rPr>
                <w:rFonts w:hint="eastAsia" w:eastAsia="宋体"/>
                <w:lang w:eastAsia="zh-CN"/>
              </w:rPr>
            </w:pPr>
            <w:r>
              <w:rPr>
                <w:rFonts w:hint="eastAsia" w:ascii="Times New Roman" w:hAnsi="宋体" w:eastAsia="微软雅黑" w:cs="宋体"/>
                <w:b/>
                <w:bCs/>
                <w:snapToGrid w:val="0"/>
                <w:color w:val="000000"/>
                <w:spacing w:val="-2"/>
                <w:kern w:val="0"/>
                <w:sz w:val="24"/>
                <w:szCs w:val="24"/>
                <w:lang w:val="en-US" w:eastAsia="zh-CN" w:bidi="ar-SA"/>
              </w:rPr>
              <w:t>Bidders shall successfully register on the China International Bidding Network (hereinafter referred to as "the Bidding Network", website: http://www.chinabidding.com) before the bid submission deadline specified in the bidding documents. Otherwise, bidders will not be able to enter the bidding process, and they shall bear the consequences thereof.</w:t>
            </w:r>
          </w:p>
        </w:tc>
      </w:tr>
      <w:tr w14:paraId="1E6F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3"/>
            <w:vAlign w:val="top"/>
          </w:tcPr>
          <w:p w14:paraId="4A97EBEC">
            <w:pPr>
              <w:pStyle w:val="17"/>
              <w:spacing w:before="43" w:line="220" w:lineRule="auto"/>
              <w:ind w:left="3909"/>
              <w:rPr>
                <w:rFonts w:hint="eastAsia" w:eastAsia="宋体"/>
                <w:sz w:val="28"/>
                <w:szCs w:val="28"/>
                <w:lang w:eastAsia="zh-CN"/>
              </w:rPr>
            </w:pPr>
            <w:r>
              <w:rPr>
                <w:rFonts w:hint="eastAsia" w:ascii="Times New Roman" w:hAnsi="宋体" w:eastAsia="微软雅黑" w:cs="宋体"/>
                <w:b/>
                <w:bCs/>
                <w:snapToGrid w:val="0"/>
                <w:color w:val="000000"/>
                <w:spacing w:val="-5"/>
                <w:kern w:val="0"/>
                <w:sz w:val="28"/>
                <w:szCs w:val="28"/>
                <w:lang w:val="en-US" w:eastAsia="zh-CN" w:bidi="ar-SA"/>
              </w:rPr>
              <w:t>II. Bidding Documents</w:t>
            </w:r>
          </w:p>
        </w:tc>
      </w:tr>
      <w:tr w14:paraId="7561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032A9384">
            <w:pPr>
              <w:pStyle w:val="17"/>
              <w:spacing w:before="78" w:line="239" w:lineRule="auto"/>
              <w:jc w:val="center"/>
              <w:rPr>
                <w:rFonts w:hint="eastAsia" w:eastAsia="宋体"/>
                <w:lang w:eastAsia="zh-CN"/>
              </w:rPr>
            </w:pPr>
            <w:r>
              <w:rPr>
                <w:rFonts w:hint="eastAsia" w:ascii="Times New Roman" w:hAnsi="宋体" w:eastAsia="微软雅黑" w:cs="宋体"/>
                <w:snapToGrid w:val="0"/>
                <w:color w:val="000000"/>
                <w:spacing w:val="-5"/>
                <w:kern w:val="0"/>
                <w:sz w:val="24"/>
                <w:szCs w:val="24"/>
                <w:lang w:val="en-US" w:eastAsia="zh-CN" w:bidi="ar-SA"/>
              </w:rPr>
              <w:t>5.2</w:t>
            </w:r>
          </w:p>
        </w:tc>
        <w:tc>
          <w:tcPr>
            <w:tcW w:w="8423" w:type="dxa"/>
            <w:gridSpan w:val="2"/>
            <w:vAlign w:val="top"/>
          </w:tcPr>
          <w:p w14:paraId="39F6AFF7">
            <w:pPr>
              <w:pStyle w:val="17"/>
              <w:spacing w:before="41" w:line="347" w:lineRule="auto"/>
              <w:ind w:left="116" w:right="155" w:hanging="3"/>
              <w:jc w:val="both"/>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The required goods, bidding process and contract conditions are specified in the bidding documents. The paper bidding documents and the electronic bidding documents have the same legal effect. Unless otherwise agreed, the paper bidding documents shall prevail in case of any discrepancy.</w:t>
            </w:r>
          </w:p>
        </w:tc>
      </w:tr>
      <w:tr w14:paraId="1C88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7" w:type="dxa"/>
            <w:vAlign w:val="center"/>
          </w:tcPr>
          <w:p w14:paraId="441AE313">
            <w:pPr>
              <w:pStyle w:val="17"/>
              <w:spacing w:before="274" w:line="239" w:lineRule="auto"/>
              <w:ind w:left="120"/>
              <w:jc w:val="center"/>
              <w:rPr>
                <w:rFonts w:hint="eastAsia" w:eastAsia="宋体"/>
                <w:lang w:eastAsia="zh-CN"/>
              </w:rPr>
            </w:pPr>
            <w:r>
              <w:rPr>
                <w:rFonts w:hint="eastAsia" w:ascii="Times New Roman" w:hAnsi="宋体" w:eastAsia="微软雅黑" w:cs="宋体"/>
                <w:snapToGrid w:val="0"/>
                <w:color w:val="000000"/>
                <w:spacing w:val="-4"/>
                <w:kern w:val="0"/>
                <w:sz w:val="24"/>
                <w:szCs w:val="24"/>
                <w:lang w:val="en-US" w:eastAsia="zh-CN" w:bidi="ar-SA"/>
              </w:rPr>
              <w:t>6.1</w:t>
            </w:r>
          </w:p>
        </w:tc>
        <w:tc>
          <w:tcPr>
            <w:tcW w:w="8423" w:type="dxa"/>
            <w:gridSpan w:val="2"/>
            <w:vAlign w:val="top"/>
          </w:tcPr>
          <w:p w14:paraId="0B049E4E">
            <w:pPr>
              <w:pStyle w:val="17"/>
              <w:spacing w:before="41" w:line="342" w:lineRule="auto"/>
              <w:ind w:left="111" w:right="155"/>
              <w:rPr>
                <w:rFonts w:hint="eastAsia" w:eastAsia="宋体"/>
                <w:lang w:eastAsia="zh-CN"/>
              </w:rPr>
            </w:pPr>
            <w:r>
              <w:rPr>
                <w:rFonts w:ascii="Times New Roman" w:eastAsia="微软雅黑"/>
              </w:rPr>
              <mc:AlternateContent>
                <mc:Choice Requires="wps">
                  <w:drawing>
                    <wp:anchor distT="0" distB="0" distL="114300" distR="114300" simplePos="0" relativeHeight="251660288" behindDoc="0" locked="0" layoutInCell="1" allowOverlap="1">
                      <wp:simplePos x="0" y="0"/>
                      <wp:positionH relativeFrom="page">
                        <wp:posOffset>5041900</wp:posOffset>
                      </wp:positionH>
                      <wp:positionV relativeFrom="paragraph">
                        <wp:posOffset>548005</wp:posOffset>
                      </wp:positionV>
                      <wp:extent cx="76200" cy="1739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73990"/>
                              </a:xfrm>
                              <a:prstGeom prst="rect">
                                <a:avLst/>
                              </a:prstGeom>
                              <a:noFill/>
                              <a:ln>
                                <a:noFill/>
                              </a:ln>
                            </wps:spPr>
                            <wps:txbx>
                              <w:txbxContent>
                                <w:p w14:paraId="06A1F27A">
                                  <w:pPr>
                                    <w:pStyle w:val="17"/>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wps:txbx>
                            <wps:bodyPr lIns="0" tIns="0" rIns="0" bIns="0" upright="1"/>
                          </wps:wsp>
                        </a:graphicData>
                      </a:graphic>
                    </wp:anchor>
                  </w:drawing>
                </mc:Choice>
                <mc:Fallback>
                  <w:pict>
                    <v:shape id="_x0000_s1026" o:spid="_x0000_s1026" o:spt="202" type="#_x0000_t202" style="position:absolute;left:0pt;margin-left:397pt;margin-top:43.15pt;height:13.7pt;width:6pt;mso-position-horizontal-relative:page;z-index:251660288;mso-width-relative:page;mso-height-relative:page;" filled="f" stroked="f" coordsize="21600,21600" o:gfxdata="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7piG2QAAAAoBAAAPAAAAAAAAAAEAIAAAACIAAABkcnMvZG93bnJldi54bWxQSwEC&#10;FAAUAAAACACHTuJA0SrgDroBAABwAwAADgAAAAAAAAABACAAAAAoAQAAZHJzL2Uyb0RvYy54bWxQ&#10;SwUGAAAAAAYABgBZAQAAVAUAAAAA&#10;">
                      <v:fill on="f" focussize="0,0"/>
                      <v:stroke on="f"/>
                      <v:imagedata o:title=""/>
                      <o:lock v:ext="edit" aspectratio="f"/>
                      <v:textbox inset="0mm,0mm,0mm,0mm">
                        <w:txbxContent>
                          <w:p w14:paraId="06A1F27A">
                            <w:pPr>
                              <w:pStyle w:val="17"/>
                              <w:spacing w:before="19"/>
                              <w:ind w:left="20"/>
                              <w:rPr>
                                <w:rFonts w:hint="eastAsia" w:eastAsia="宋体"/>
                                <w:sz w:val="18"/>
                                <w:szCs w:val="18"/>
                                <w:lang w:eastAsia="zh-CN"/>
                              </w:rPr>
                            </w:pPr>
                            <w:r>
                              <w:rPr>
                                <w:rFonts w:hint="eastAsia" w:ascii="Times New Roman" w:hAnsi="宋体" w:eastAsia="微软雅黑" w:cs="宋体"/>
                                <w:snapToGrid w:val="0"/>
                                <w:color w:val="000000"/>
                                <w:kern w:val="0"/>
                                <w:sz w:val="18"/>
                                <w:szCs w:val="18"/>
                                <w:lang w:val="en-US" w:eastAsia="zh-CN" w:bidi="ar-SA"/>
                              </w:rPr>
                              <w:t>5</w:t>
                            </w:r>
                          </w:p>
                        </w:txbxContent>
                      </v:textbox>
                    </v:shape>
                  </w:pict>
                </mc:Fallback>
              </mc:AlternateContent>
            </w:r>
            <w:r>
              <w:rPr>
                <w:rFonts w:hint="eastAsia" w:ascii="Times New Roman" w:hAnsi="宋体" w:eastAsia="微软雅黑" w:cs="宋体"/>
                <w:snapToGrid w:val="0"/>
                <w:color w:val="000000"/>
                <w:spacing w:val="-1"/>
                <w:kern w:val="0"/>
                <w:sz w:val="24"/>
                <w:szCs w:val="24"/>
                <w:lang w:val="en-US" w:eastAsia="zh-CN" w:bidi="ar-SA"/>
              </w:rPr>
              <w:t>If a potential bidder requests clarification of the bidding documents (including the modified bidding documents), it shall notify the tenderer or the tendering agency in writing 10 days before the bidding deadline.</w:t>
            </w:r>
          </w:p>
        </w:tc>
      </w:tr>
      <w:tr w14:paraId="781E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top"/>
          </w:tcPr>
          <w:p w14:paraId="796AC1FF">
            <w:pPr>
              <w:tabs>
                <w:tab w:val="left" w:pos="8603"/>
              </w:tabs>
              <w:bidi w:val="0"/>
              <w:jc w:val="left"/>
              <w:rPr>
                <w:rFonts w:hint="eastAsia" w:ascii="宋体" w:hAnsi="宋体" w:eastAsia="宋体" w:cs="宋体"/>
                <w:sz w:val="24"/>
                <w:szCs w:val="24"/>
              </w:rPr>
            </w:pPr>
            <w:r>
              <w:rPr>
                <w:rFonts w:hint="eastAsia" w:ascii="Times New Roman" w:hAnsi="Arial" w:eastAsia="微软雅黑" w:cs="Arial"/>
                <w:snapToGrid w:val="0"/>
                <w:color w:val="000000"/>
                <w:kern w:val="0"/>
                <w:sz w:val="21"/>
                <w:szCs w:val="21"/>
                <w:lang w:val="en-US" w:eastAsia="zh-CN" w:bidi="ar-SA"/>
              </w:rPr>
              <w:tab/>
            </w:r>
          </w:p>
          <w:p w14:paraId="5676F91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3"/>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7</w:t>
            </w:r>
          </w:p>
        </w:tc>
        <w:tc>
          <w:tcPr>
            <w:tcW w:w="8423" w:type="dxa"/>
            <w:gridSpan w:val="2"/>
            <w:vAlign w:val="top"/>
          </w:tcPr>
          <w:p w14:paraId="05B24BB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Potential bidders who have obtained the tender documents may submit clarifications and amendments to the tender documents.</w:t>
            </w:r>
          </w:p>
          <w:p w14:paraId="46CB179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2" w:right="155" w:hanging="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If there is any objection, it shall be submitted to the tenderer or the tendering agency in written form 10 days before the bidding deadline, and the content of the objection shall be uploaded to the bidding website.</w:t>
            </w:r>
          </w:p>
        </w:tc>
      </w:tr>
      <w:tr w14:paraId="77F6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80" w:type="dxa"/>
            <w:gridSpan w:val="3"/>
            <w:vAlign w:val="top"/>
          </w:tcPr>
          <w:p w14:paraId="4D13524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484"/>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III. Preparation of bidding documents</w:t>
            </w:r>
          </w:p>
        </w:tc>
      </w:tr>
      <w:tr w14:paraId="06B7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57" w:type="dxa"/>
            <w:vAlign w:val="center"/>
          </w:tcPr>
          <w:p w14:paraId="3E4E8CC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8</w:t>
            </w:r>
          </w:p>
        </w:tc>
        <w:tc>
          <w:tcPr>
            <w:tcW w:w="8423" w:type="dxa"/>
            <w:gridSpan w:val="2"/>
            <w:vAlign w:val="top"/>
          </w:tcPr>
          <w:p w14:paraId="18B0556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language of the tender documents shall be Chinese or Chinese-English translation. In case of conflict, the Chinese version shall prevail.</w:t>
            </w:r>
          </w:p>
        </w:tc>
      </w:tr>
      <w:tr w14:paraId="6BDA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7" w:type="dxa"/>
            <w:vAlign w:val="center"/>
          </w:tcPr>
          <w:p w14:paraId="2A58D9F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11.5</w:t>
            </w:r>
          </w:p>
        </w:tc>
        <w:tc>
          <w:tcPr>
            <w:tcW w:w="8423" w:type="dxa"/>
            <w:gridSpan w:val="2"/>
            <w:vAlign w:val="top"/>
          </w:tcPr>
          <w:p w14:paraId="72D9AD3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4" w:right="133"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The maximum bid price of this tender is 1.3000 million yuan, and any bid above this maximum bid price will be rejected.</w:t>
            </w:r>
          </w:p>
        </w:tc>
      </w:tr>
      <w:tr w14:paraId="57C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35E97C9">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11.6.1</w:t>
            </w:r>
          </w:p>
        </w:tc>
        <w:tc>
          <w:tcPr>
            <w:tcW w:w="8423" w:type="dxa"/>
            <w:gridSpan w:val="2"/>
            <w:vAlign w:val="top"/>
          </w:tcPr>
          <w:p w14:paraId="4EB7D44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Bidding price for goods supplied from the territory of the People's Republic of China: EXW (Ex Works)</w:t>
            </w:r>
          </w:p>
          <w:p w14:paraId="1BCC3C9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right="155"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Related costs: costs associated with the transport, insurance and accompanying delivery of the goods within the customs territory of the final destination.</w:t>
            </w:r>
          </w:p>
        </w:tc>
      </w:tr>
      <w:tr w14:paraId="29E5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7" w:type="dxa"/>
            <w:vAlign w:val="center"/>
          </w:tcPr>
          <w:p w14:paraId="56BAF5EF">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11.6.2</w:t>
            </w:r>
          </w:p>
        </w:tc>
        <w:tc>
          <w:tcPr>
            <w:tcW w:w="8423" w:type="dxa"/>
            <w:gridSpan w:val="2"/>
            <w:vAlign w:val="top"/>
          </w:tcPr>
          <w:p w14:paraId="37A89E8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Bidding quotation for goods supplied from outside the People's Republic of China: CIP (First Affiliated Hospital of Nanchang University)</w:t>
            </w:r>
          </w:p>
          <w:p w14:paraId="1D2CD84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5" w:right="155" w:hanging="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Related costs: the costs of customs transport, insurance and accompanying goods delivery of the reported goods to the final destination within the customs territory.</w:t>
            </w:r>
          </w:p>
        </w:tc>
      </w:tr>
      <w:tr w14:paraId="79F0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Align w:val="center"/>
          </w:tcPr>
          <w:p w14:paraId="0B248A0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12.1</w:t>
            </w:r>
          </w:p>
        </w:tc>
        <w:tc>
          <w:tcPr>
            <w:tcW w:w="8423" w:type="dxa"/>
            <w:gridSpan w:val="2"/>
            <w:vAlign w:val="top"/>
          </w:tcPr>
          <w:p w14:paraId="2672A8E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 currency: The goods and services provided within the territory of the People's Republic of China shall be quoted in RMB.</w:t>
            </w:r>
          </w:p>
        </w:tc>
      </w:tr>
      <w:tr w14:paraId="16E1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E3A0B9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12.2</w:t>
            </w:r>
          </w:p>
        </w:tc>
        <w:tc>
          <w:tcPr>
            <w:tcW w:w="8423" w:type="dxa"/>
            <w:gridSpan w:val="2"/>
            <w:vAlign w:val="top"/>
          </w:tcPr>
          <w:p w14:paraId="0071FD3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8" w:right="395" w:hanging="2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8"/>
                <w:kern w:val="0"/>
                <w:sz w:val="24"/>
                <w:szCs w:val="24"/>
                <w:lang w:val="en-US" w:eastAsia="zh-CN" w:bidi="ar-SA"/>
              </w:rPr>
              <w:t>Bid currency: US dollars or other internationally circulating currencies for goods and services provided outside the People's Republic of China.</w:t>
            </w:r>
          </w:p>
        </w:tc>
      </w:tr>
      <w:tr w14:paraId="5E2D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542C60A5">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13.1</w:t>
            </w:r>
          </w:p>
        </w:tc>
        <w:tc>
          <w:tcPr>
            <w:tcW w:w="8423" w:type="dxa"/>
            <w:gridSpan w:val="2"/>
            <w:vAlign w:val="top"/>
          </w:tcPr>
          <w:p w14:paraId="4AAEE4D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Consortium bidding: Consortium bidding is not accepted for this project.</w:t>
            </w:r>
          </w:p>
        </w:tc>
      </w:tr>
      <w:tr w14:paraId="4907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714AFE9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13.2</w:t>
            </w:r>
          </w:p>
        </w:tc>
        <w:tc>
          <w:tcPr>
            <w:tcW w:w="8423" w:type="dxa"/>
            <w:gridSpan w:val="2"/>
            <w:vAlign w:val="top"/>
          </w:tcPr>
          <w:p w14:paraId="7128043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right="275" w:firstLine="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qualification documents submitted by the bidder shall prove that they are from the qualified source country/region defined in clause 2.2 of this tender data sheet.</w:t>
            </w:r>
          </w:p>
        </w:tc>
      </w:tr>
      <w:tr w14:paraId="3537A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057" w:type="dxa"/>
            <w:vAlign w:val="center"/>
          </w:tcPr>
          <w:p w14:paraId="0ED86208">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13.3</w:t>
            </w:r>
          </w:p>
        </w:tc>
        <w:tc>
          <w:tcPr>
            <w:tcW w:w="8423" w:type="dxa"/>
            <w:gridSpan w:val="2"/>
            <w:vAlign w:val="top"/>
          </w:tcPr>
          <w:p w14:paraId="54E8DCC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qualification documents submitted by the bidder to prove that he can perform the contract after winning the bid shall include the following documents:</w:t>
            </w:r>
          </w:p>
          <w:p w14:paraId="04C110F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41" w:right="275" w:hanging="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1. If the bidder is not the manufacturer of the goods submitted, the bidder shall provide the valid authorization letter or distribution authorization letter of the manufacturer (or domestic general agent) of the goods submitted for the bidding;</w:t>
            </w:r>
          </w:p>
          <w:p w14:paraId="171C495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Documents proving that the bidder meets the performance requirements (if any);</w:t>
            </w:r>
          </w:p>
          <w:p w14:paraId="30C2AEB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3. The original or copy of the credit certificate issued by the bidder's bank within three months prior to the bid opening date;</w:t>
            </w:r>
          </w:p>
        </w:tc>
      </w:tr>
      <w:tr w14:paraId="031F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27AFDC0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14.3</w:t>
            </w:r>
          </w:p>
        </w:tc>
        <w:tc>
          <w:tcPr>
            <w:tcW w:w="8423" w:type="dxa"/>
            <w:gridSpan w:val="2"/>
            <w:vAlign w:val="top"/>
          </w:tcPr>
          <w:p w14:paraId="27FE6029">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kern w:val="0"/>
                <w:sz w:val="24"/>
                <w:szCs w:val="24"/>
                <w:lang w:val="en-US" w:eastAsia="zh-CN" w:bidi="ar-SA"/>
              </w:rPr>
              <w:t>1. Spare parts (including wear parts) required for normal operation for one year after final acceptance of goods;</w:t>
            </w:r>
          </w:p>
          <w:p w14:paraId="66A20A7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2. Provide spare parts (including wear parts) list, unit price, manufacturer and related information.</w:t>
            </w:r>
          </w:p>
        </w:tc>
      </w:tr>
      <w:tr w14:paraId="3624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057" w:type="dxa"/>
            <w:vAlign w:val="center"/>
          </w:tcPr>
          <w:p w14:paraId="7CEB971F">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15.1</w:t>
            </w:r>
          </w:p>
        </w:tc>
        <w:tc>
          <w:tcPr>
            <w:tcW w:w="8423" w:type="dxa"/>
            <w:gridSpan w:val="2"/>
            <w:vAlign w:val="top"/>
          </w:tcPr>
          <w:p w14:paraId="130CB0E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right="138" w:hanging="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highlight w:val="none"/>
                <w:lang w:val="en-US" w:eastAsia="zh-CN" w:bidi="ar-SA"/>
              </w:rPr>
              <w:t>The bid security amount is RMB 16,000. The deadline for submitting the bid security is the same as the deadline for submitting the bid documents.</w:t>
            </w:r>
          </w:p>
          <w:p w14:paraId="5889BCB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49"/>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[Note: The remittance must be marked as "25-1137 deposit", and the remittance must be received]</w:t>
            </w:r>
          </w:p>
        </w:tc>
      </w:tr>
      <w:tr w14:paraId="414D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57" w:type="dxa"/>
            <w:vAlign w:val="center"/>
          </w:tcPr>
          <w:p w14:paraId="5D4EFC52">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15.3</w:t>
            </w:r>
          </w:p>
        </w:tc>
        <w:tc>
          <w:tcPr>
            <w:tcW w:w="8423" w:type="dxa"/>
            <w:gridSpan w:val="2"/>
            <w:vAlign w:val="top"/>
          </w:tcPr>
          <w:p w14:paraId="5EB5173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0" w:right="155" w:firstLine="4"/>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Forms of bid security: transfer check, bank remittance, bank sight draft, bank guarantee. For domestic bidding units of projects that must be subject to tender according to law, the bid security submitted in the form of bank remittance or transfer check shall be transferred from their basic account to the tendering agency.</w:t>
            </w:r>
          </w:p>
        </w:tc>
      </w:tr>
      <w:tr w14:paraId="33B5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57" w:type="dxa"/>
            <w:vAlign w:val="center"/>
          </w:tcPr>
          <w:p w14:paraId="76EA7C4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16.1</w:t>
            </w:r>
          </w:p>
        </w:tc>
        <w:tc>
          <w:tcPr>
            <w:tcW w:w="8423" w:type="dxa"/>
            <w:gridSpan w:val="2"/>
            <w:vAlign w:val="top"/>
          </w:tcPr>
          <w:p w14:paraId="1D64C25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right="155" w:hanging="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Validity period of bid: The bid shall remain valid for no less than 90 days from the deadline of submission of bid documents.</w:t>
            </w:r>
          </w:p>
        </w:tc>
      </w:tr>
      <w:tr w14:paraId="2021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145F0418">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17.1</w:t>
            </w:r>
          </w:p>
        </w:tc>
        <w:tc>
          <w:tcPr>
            <w:tcW w:w="8423" w:type="dxa"/>
            <w:gridSpan w:val="2"/>
            <w:vAlign w:val="top"/>
          </w:tcPr>
          <w:p w14:paraId="1A0265D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Number of copies of the bidding documents: 4 copies of the bidding documents shall be copies of the original;</w:t>
            </w:r>
          </w:p>
          <w:p w14:paraId="4BD661B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4" w:right="155" w:hanging="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Electronic Bid Document: A single sealed electronic document bearing the official seal must be submitted. The document should be stored on a USB drive, sealed, and stamped with the official seal. The cover must specify the procurement number, project name, and supplier name, along with the notation "Electronic Bid Document".</w:t>
            </w:r>
          </w:p>
        </w:tc>
      </w:tr>
      <w:tr w14:paraId="7004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57" w:type="dxa"/>
            <w:vAlign w:val="center"/>
          </w:tcPr>
          <w:p w14:paraId="1244AFB8">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17.2</w:t>
            </w:r>
          </w:p>
        </w:tc>
        <w:tc>
          <w:tcPr>
            <w:tcW w:w="8423" w:type="dxa"/>
            <w:gridSpan w:val="2"/>
            <w:vAlign w:val="top"/>
          </w:tcPr>
          <w:p w14:paraId="621AF33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original bid documents must be printed or written in permanent ink and signed by the unit's responsible person or their formally authorized representative. The authorized representative must attach a written "Authorization Letter from the Unit's Responsible Person" to the bid documents. Unless otherwise specified in the bid documentation form, every page of the bid documents must be signed by the unit's responsible person or their authorized representative using their full name or initials.</w:t>
            </w:r>
          </w:p>
        </w:tc>
      </w:tr>
      <w:tr w14:paraId="2B03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top"/>
          </w:tcPr>
          <w:p w14:paraId="5F779E05">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510"/>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IV. Submission of Tender Documents</w:t>
            </w:r>
          </w:p>
        </w:tc>
      </w:tr>
      <w:tr w14:paraId="6384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7E5BDB4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19.1</w:t>
            </w:r>
          </w:p>
        </w:tc>
        <w:tc>
          <w:tcPr>
            <w:tcW w:w="8423" w:type="dxa"/>
            <w:gridSpan w:val="2"/>
            <w:vAlign w:val="top"/>
          </w:tcPr>
          <w:p w14:paraId="53835B2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8"/>
                <w:kern w:val="0"/>
                <w:sz w:val="24"/>
                <w:szCs w:val="24"/>
                <w:lang w:val="en-US" w:eastAsia="zh-CN" w:bidi="ar-SA"/>
              </w:rPr>
              <w:t>Deadline and submission address: see "Bid Invitation" for details</w:t>
            </w:r>
          </w:p>
        </w:tc>
      </w:tr>
      <w:tr w14:paraId="1536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480" w:type="dxa"/>
            <w:gridSpan w:val="3"/>
            <w:vAlign w:val="center"/>
          </w:tcPr>
          <w:p w14:paraId="68D9A03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769"/>
              <w:jc w:val="both"/>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V. Bid opening and bid evaluation</w:t>
            </w:r>
          </w:p>
        </w:tc>
      </w:tr>
      <w:tr w14:paraId="25E6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BEE204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22.1</w:t>
            </w:r>
          </w:p>
        </w:tc>
        <w:tc>
          <w:tcPr>
            <w:tcW w:w="8423" w:type="dxa"/>
            <w:gridSpan w:val="2"/>
            <w:vAlign w:val="top"/>
          </w:tcPr>
          <w:p w14:paraId="3F1DB27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4"/>
                <w:kern w:val="0"/>
                <w:sz w:val="24"/>
                <w:szCs w:val="24"/>
                <w:lang w:val="en-US" w:eastAsia="zh-CN" w:bidi="ar-SA"/>
              </w:rPr>
              <w:t>Bid opening date, time, and location: see the "Bid Invitation"</w:t>
            </w:r>
          </w:p>
        </w:tc>
      </w:tr>
      <w:tr w14:paraId="2E69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40BB89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22.3</w:t>
            </w:r>
          </w:p>
        </w:tc>
        <w:tc>
          <w:tcPr>
            <w:tcW w:w="8423" w:type="dxa"/>
            <w:gridSpan w:val="2"/>
            <w:vAlign w:val="top"/>
          </w:tcPr>
          <w:p w14:paraId="29C0BBE5">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right="155" w:firstLine="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If a bidder has any objection to the bid opening, it shall raise it at the place of bid opening, and the tenderer shall give a reply on the spot and make a record.</w:t>
            </w:r>
          </w:p>
        </w:tc>
      </w:tr>
      <w:tr w14:paraId="3688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48525A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23.2</w:t>
            </w:r>
          </w:p>
        </w:tc>
        <w:tc>
          <w:tcPr>
            <w:tcW w:w="8423" w:type="dxa"/>
            <w:gridSpan w:val="2"/>
            <w:vAlign w:val="top"/>
          </w:tcPr>
          <w:p w14:paraId="4AF684D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 evaluation method: lowest bid evaluation method.</w:t>
            </w:r>
          </w:p>
        </w:tc>
      </w:tr>
      <w:tr w14:paraId="0C719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center"/>
          </w:tcPr>
          <w:p w14:paraId="124D3369">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25.1</w:t>
            </w:r>
          </w:p>
        </w:tc>
        <w:tc>
          <w:tcPr>
            <w:tcW w:w="8423" w:type="dxa"/>
            <w:gridSpan w:val="2"/>
            <w:vAlign w:val="top"/>
          </w:tcPr>
          <w:p w14:paraId="29A42CE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right="155" w:hanging="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Bid evaluation currency: The foreign currency is converted into RMB in accordance with the spot selling price of foreign currency to RMB first published by the head office of Bank of China on the day of bid opening.</w:t>
            </w:r>
          </w:p>
        </w:tc>
      </w:tr>
      <w:tr w14:paraId="2A2D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center"/>
          </w:tcPr>
          <w:p w14:paraId="0819DC2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26.3</w:t>
            </w:r>
          </w:p>
        </w:tc>
        <w:tc>
          <w:tcPr>
            <w:tcW w:w="8423" w:type="dxa"/>
            <w:gridSpan w:val="2"/>
            <w:vAlign w:val="top"/>
          </w:tcPr>
          <w:p w14:paraId="375F579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highlight w:val="none"/>
                <w:lang w:val="en-US" w:eastAsia="zh-CN" w:bidi="ar-SA"/>
              </w:rPr>
              <w:t>Quantitative factors for bid evaluation: Refer to the bidder's instructions 26.3, items 1),2),3),4),5),7), and 8).</w:t>
            </w:r>
          </w:p>
        </w:tc>
      </w:tr>
      <w:tr w14:paraId="5554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36DD514E">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26.4.1</w:t>
            </w:r>
          </w:p>
        </w:tc>
        <w:tc>
          <w:tcPr>
            <w:tcW w:w="8423" w:type="dxa"/>
            <w:gridSpan w:val="2"/>
            <w:vAlign w:val="top"/>
          </w:tcPr>
          <w:p w14:paraId="387C9B4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The option for inland transportation costs, insurance premiums, and other ancillary service fees incurred within China's territory:</w:t>
            </w:r>
          </w:p>
          <w:p w14:paraId="7EBB684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1" w:right="138" w:hanging="1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2) The bidder shall bear the cost of domestic transportation, insurance and other accompanying services incurred when the bidding materials are transported from the factory or import port to the project site specified in the bidding materials.</w:t>
            </w:r>
          </w:p>
        </w:tc>
      </w:tr>
      <w:tr w14:paraId="72DF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57" w:type="dxa"/>
            <w:vAlign w:val="center"/>
          </w:tcPr>
          <w:p w14:paraId="7D0AD7B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26.4.2</w:t>
            </w:r>
          </w:p>
        </w:tc>
        <w:tc>
          <w:tcPr>
            <w:tcW w:w="8423" w:type="dxa"/>
            <w:gridSpan w:val="2"/>
            <w:vAlign w:val="top"/>
          </w:tcPr>
          <w:p w14:paraId="130AEFE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right="2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Deviation of delivery time selected scheme: 2) Early delivery will not be considered to reduce the bid evaluation price. Bids delivered later or earlier than the delivery time range will be regarded as non-responsive bids.</w:t>
            </w:r>
          </w:p>
        </w:tc>
      </w:tr>
      <w:tr w14:paraId="1E60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057" w:type="dxa"/>
            <w:vAlign w:val="center"/>
          </w:tcPr>
          <w:p w14:paraId="2F04674C">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26.4.3</w:t>
            </w:r>
          </w:p>
        </w:tc>
        <w:tc>
          <w:tcPr>
            <w:tcW w:w="8423" w:type="dxa"/>
            <w:gridSpan w:val="2"/>
            <w:vAlign w:val="top"/>
          </w:tcPr>
          <w:p w14:paraId="3220F3A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Alternative to payment terms: 1) Bidders shall submit quotations in accordance with the payment terms specified in the contract documentation. The evaluation will be based on these quotations, but bidders may propose alternative payment plans with corresponding price reductions. The Evaluation Committee may consider such alternative payment plans from successful bidders. If the Evaluation Committee rejects the alternative payment plan, the bid evaluation price will be increased by 1% (1%) from the original bid price.</w:t>
            </w:r>
          </w:p>
        </w:tc>
      </w:tr>
      <w:tr w14:paraId="2009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Align w:val="center"/>
          </w:tcPr>
          <w:p w14:paraId="4CD7A3F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26.4.4</w:t>
            </w:r>
          </w:p>
        </w:tc>
        <w:tc>
          <w:tcPr>
            <w:tcW w:w="8423" w:type="dxa"/>
            <w:gridSpan w:val="2"/>
            <w:vAlign w:val="top"/>
          </w:tcPr>
          <w:p w14:paraId="61FF8B7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2" w:right="143"/>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Cost of spare parts and spare parts: 1) The bidder shall attach the list of spare parts and quantities of the goods to be bid in the technical specifications, and calculate the total price according to the unit price reported in the bidding documents, and include it in the bidding price.</w:t>
            </w:r>
          </w:p>
        </w:tc>
      </w:tr>
      <w:tr w14:paraId="7AD0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Align w:val="center"/>
          </w:tcPr>
          <w:p w14:paraId="6A5BBD3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26.4.5</w:t>
            </w:r>
          </w:p>
        </w:tc>
        <w:tc>
          <w:tcPr>
            <w:tcW w:w="8423" w:type="dxa"/>
            <w:gridSpan w:val="2"/>
            <w:vAlign w:val="top"/>
          </w:tcPr>
          <w:p w14:paraId="601C95F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China's spare parts supply and after-sales service facilities within the customs territory</w:t>
            </w:r>
          </w:p>
          <w:p w14:paraId="7690143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right="253" w:firstLine="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If the bidder does not have maintenance service facilities and spare parts warehouses within China, the tenderee will consider the cost required to establish the minimum maintenance service facilities and spare parts warehouses, and the required cost will be included in the bid evaluation price.</w:t>
            </w:r>
          </w:p>
        </w:tc>
      </w:tr>
      <w:tr w14:paraId="5658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057" w:type="dxa"/>
            <w:vAlign w:val="top"/>
          </w:tcPr>
          <w:p w14:paraId="6625143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26.4.6</w:t>
            </w:r>
          </w:p>
        </w:tc>
        <w:tc>
          <w:tcPr>
            <w:tcW w:w="8423" w:type="dxa"/>
            <w:gridSpan w:val="2"/>
            <w:vAlign w:val="center"/>
          </w:tcPr>
          <w:p w14:paraId="6694EDD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jc w:val="left"/>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Estimated operating and maintenance costs for the bid equipment: Not applicable.</w:t>
            </w:r>
          </w:p>
        </w:tc>
      </w:tr>
      <w:tr w14:paraId="35EA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1057" w:type="dxa"/>
            <w:vAlign w:val="center"/>
          </w:tcPr>
          <w:p w14:paraId="41462E91">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26.4.7</w:t>
            </w:r>
          </w:p>
        </w:tc>
        <w:tc>
          <w:tcPr>
            <w:tcW w:w="8423" w:type="dxa"/>
            <w:gridSpan w:val="2"/>
            <w:vAlign w:val="top"/>
          </w:tcPr>
          <w:p w14:paraId="331F02C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Bid equipment performance and productivity: Selected solution: 2)</w:t>
            </w:r>
          </w:p>
          <w:p w14:paraId="09238C3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3" w:right="222" w:firstLine="16"/>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1. Bidders must provide technical support documentation for key technical clauses or parameters marked with an asterisk ("*") in their tender submissions. Valid technical support documentation must be in the form of publicly issued printed materials by the manufacturer, test reports from accredited testing institutions, or other formats permitted in the tender documentation. Any documentation failing to meet these requirements will be deemed invalid. In case of discrepancies between publicly issued manufacturer materials and test reports from accredited institutions, the latter shall prevail.</w:t>
            </w:r>
          </w:p>
          <w:p w14:paraId="27AFC67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right="140" w:firstLine="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 If the technical parameters of the bid goods are lower than those marked with # in the technical specifications of the bidding documents, the bid evaluation price will be increased by 1% per sub-item based on the bid price.</w:t>
            </w:r>
          </w:p>
          <w:p w14:paraId="38B7EE1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right="136" w:firstLine="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3. If the general technical indicators in the technical specifications are lower than the general indicators in the bidding documents, the bid evaluation price will be increased by 0.5% per sub-item on the basis of the bid price.</w:t>
            </w:r>
          </w:p>
        </w:tc>
      </w:tr>
      <w:tr w14:paraId="2FD4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57" w:type="dxa"/>
            <w:vAlign w:val="top"/>
          </w:tcPr>
          <w:p w14:paraId="1936812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26.4.8</w:t>
            </w:r>
          </w:p>
        </w:tc>
        <w:tc>
          <w:tcPr>
            <w:tcW w:w="8423" w:type="dxa"/>
            <w:gridSpan w:val="2"/>
            <w:vAlign w:val="top"/>
          </w:tcPr>
          <w:p w14:paraId="7C61946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5" w:right="5495" w:hanging="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Other additional bid evaluation factors and criteria: not applicable</w:t>
            </w:r>
          </w:p>
        </w:tc>
      </w:tr>
      <w:tr w14:paraId="3F4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057" w:type="dxa"/>
            <w:vAlign w:val="center"/>
          </w:tcPr>
          <w:p w14:paraId="58FEF80B">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26.5</w:t>
            </w:r>
          </w:p>
        </w:tc>
        <w:tc>
          <w:tcPr>
            <w:tcW w:w="8423" w:type="dxa"/>
            <w:gridSpan w:val="2"/>
            <w:vAlign w:val="top"/>
          </w:tcPr>
          <w:p w14:paraId="6CC3AAA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2" w:right="155" w:firstLine="22"/>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selection process for winning candidates follows these procedures: When all bids meet the substantive requirements specified in the tender documents (including commercial and technical aspects), the evaluation committee will determine each bidder's final bid price in accordance with Section 26.4.7 pricing evaluation regulations. Based on the number of qualified candidates specified in the bid documentation, the committee will rank all bidders by their bid prices from lowest to highest to identify the winning candidates. The bidder with the lowest bid price will be designated as the top-ranked candidate.</w:t>
            </w:r>
          </w:p>
        </w:tc>
      </w:tr>
      <w:tr w14:paraId="7210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480" w:type="dxa"/>
            <w:gridSpan w:val="3"/>
            <w:vAlign w:val="top"/>
          </w:tcPr>
          <w:p w14:paraId="143BC16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906"/>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5"/>
                <w:kern w:val="0"/>
                <w:sz w:val="24"/>
                <w:szCs w:val="24"/>
                <w:lang w:val="en-US" w:eastAsia="zh-CN" w:bidi="ar-SA"/>
              </w:rPr>
              <w:t>VI. CONTRACT GRANT</w:t>
            </w:r>
          </w:p>
        </w:tc>
      </w:tr>
      <w:tr w14:paraId="0E70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7" w:type="dxa"/>
            <w:vMerge w:val="restart"/>
            <w:tcBorders>
              <w:bottom w:val="nil"/>
            </w:tcBorders>
            <w:vAlign w:val="center"/>
          </w:tcPr>
          <w:p w14:paraId="0DB7FE09">
            <w:pPr>
              <w:pStyle w:val="17"/>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36.1</w:t>
            </w:r>
          </w:p>
        </w:tc>
        <w:tc>
          <w:tcPr>
            <w:tcW w:w="8423" w:type="dxa"/>
            <w:gridSpan w:val="2"/>
            <w:vAlign w:val="top"/>
          </w:tcPr>
          <w:p w14:paraId="287AA0D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Procurement agency service fee:</w:t>
            </w:r>
          </w:p>
          <w:p w14:paraId="7E8E8A3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 When receiving the notice of winning the bid, the winning bidder shall pay the procurement agency service fee to the tendering agency</w:t>
            </w:r>
          </w:p>
          <w:p w14:paraId="6E3998F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0" w:right="1084" w:hanging="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Procurement agency service fees are calculated using a progressive differential rate method, with the rates specified in the table below: (bid amount × fee rate) × 60%.</w:t>
            </w:r>
          </w:p>
        </w:tc>
      </w:tr>
      <w:tr w14:paraId="2526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7" w:type="dxa"/>
            <w:vMerge w:val="continue"/>
            <w:tcBorders>
              <w:top w:val="nil"/>
              <w:bottom w:val="nil"/>
            </w:tcBorders>
            <w:vAlign w:val="top"/>
          </w:tcPr>
          <w:p w14:paraId="031A120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7616242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80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Bidding amount (in 10,000 yuan)</w:t>
            </w:r>
          </w:p>
        </w:tc>
        <w:tc>
          <w:tcPr>
            <w:tcW w:w="4969" w:type="dxa"/>
            <w:vAlign w:val="top"/>
          </w:tcPr>
          <w:p w14:paraId="478662D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5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Commodity bidding fee rate</w:t>
            </w:r>
          </w:p>
        </w:tc>
      </w:tr>
      <w:tr w14:paraId="1202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58583A1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14442D1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100 (inclusive)</w:t>
            </w:r>
          </w:p>
        </w:tc>
        <w:tc>
          <w:tcPr>
            <w:tcW w:w="4969" w:type="dxa"/>
            <w:vAlign w:val="top"/>
          </w:tcPr>
          <w:p w14:paraId="19C2F93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1.5%</w:t>
            </w:r>
          </w:p>
        </w:tc>
      </w:tr>
      <w:tr w14:paraId="528B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3523FE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532302B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98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100-500 (inclusive)</w:t>
            </w:r>
          </w:p>
        </w:tc>
        <w:tc>
          <w:tcPr>
            <w:tcW w:w="4969" w:type="dxa"/>
            <w:vAlign w:val="top"/>
          </w:tcPr>
          <w:p w14:paraId="58872DC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28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1.1%</w:t>
            </w:r>
          </w:p>
        </w:tc>
      </w:tr>
      <w:tr w14:paraId="1870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7" w:type="dxa"/>
            <w:vMerge w:val="continue"/>
            <w:tcBorders>
              <w:top w:val="nil"/>
              <w:bottom w:val="nil"/>
            </w:tcBorders>
            <w:vAlign w:val="top"/>
          </w:tcPr>
          <w:p w14:paraId="05F1BBA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3454" w:type="dxa"/>
            <w:vAlign w:val="top"/>
          </w:tcPr>
          <w:p w14:paraId="4CBD895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90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500-1000 (inclusive)</w:t>
            </w:r>
          </w:p>
        </w:tc>
        <w:tc>
          <w:tcPr>
            <w:tcW w:w="4969" w:type="dxa"/>
            <w:vAlign w:val="top"/>
          </w:tcPr>
          <w:p w14:paraId="32425F8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27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0.8%</w:t>
            </w:r>
          </w:p>
        </w:tc>
      </w:tr>
      <w:tr w14:paraId="5F82A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57" w:type="dxa"/>
            <w:vMerge w:val="continue"/>
            <w:tcBorders>
              <w:top w:val="nil"/>
            </w:tcBorders>
            <w:vAlign w:val="top"/>
          </w:tcPr>
          <w:p w14:paraId="67C2CA6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c>
        <w:tc>
          <w:tcPr>
            <w:tcW w:w="8423" w:type="dxa"/>
            <w:gridSpan w:val="2"/>
            <w:vAlign w:val="top"/>
          </w:tcPr>
          <w:p w14:paraId="4DE0BEB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2" w:right="29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6"/>
                <w:kern w:val="0"/>
                <w:sz w:val="24"/>
                <w:szCs w:val="24"/>
                <w:lang w:val="en-US" w:eastAsia="zh-CN" w:bidi="ar-SA"/>
              </w:rPr>
              <w:t>3. The currency of the procurement agency service fee shall be the same as the currency of the contract signed with the winning bidder, or shall be paid in RMB (converted according to the selling price of the exchange rate announced by the Bank of China on the day of bid opening). The payment methods may include check, bank draft, cash, etc.</w:t>
            </w:r>
          </w:p>
        </w:tc>
      </w:tr>
      <w:tr w14:paraId="222E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6" w:hRule="atLeast"/>
        </w:trPr>
        <w:tc>
          <w:tcPr>
            <w:tcW w:w="9480" w:type="dxa"/>
            <w:gridSpan w:val="3"/>
            <w:vAlign w:val="top"/>
          </w:tcPr>
          <w:p w14:paraId="42B062A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Additional changes to the Instructions to Bidders:</w:t>
            </w:r>
          </w:p>
          <w:p w14:paraId="7E062F4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8" w:right="126" w:firstLine="2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Potential bidders who have obtained the bidding documents must submit the following materials to the bidding agency for verification within three days prior to the bidding deadline. Any failure to submit materials for verification within the specified time will result in all consequences borne by the bidder. The materials provided in the bidding documents shall prevail.</w:t>
            </w:r>
          </w:p>
          <w:p w14:paraId="328FC97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verification materials are as follows:</w:t>
            </w:r>
          </w:p>
          <w:p w14:paraId="2380806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1) Authorization letter from the person in charge of the unit;</w:t>
            </w:r>
          </w:p>
          <w:p w14:paraId="70A27BF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Qualification statement;</w:t>
            </w:r>
          </w:p>
          <w:p w14:paraId="4795DC9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3) Manufacturer qualification statement;</w:t>
            </w:r>
          </w:p>
          <w:p w14:paraId="28A6059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4) Qualification statement of the trading company (as an agent) (if applicable);</w:t>
            </w:r>
          </w:p>
          <w:p w14:paraId="5DC58D27">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5) Authorization letter issued by the manufacturer (if applicable);</w:t>
            </w:r>
          </w:p>
          <w:p w14:paraId="366A679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0"/>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6) Certificate;</w:t>
            </w:r>
          </w:p>
          <w:p w14:paraId="29DCB4A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44" w:right="1326" w:hanging="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 The original credit certificate issued by the bidder's account bank within three months before the bid opening or a copy of the original credit certificate shall be provided in the bidding documents.</w:t>
            </w:r>
          </w:p>
        </w:tc>
      </w:tr>
    </w:tbl>
    <w:p w14:paraId="732A4479">
      <w:pPr>
        <w:pStyle w:val="5"/>
      </w:pPr>
    </w:p>
    <w:p w14:paraId="2841BFD3">
      <w:pPr>
        <w:sectPr>
          <w:footerReference r:id="rId8" w:type="default"/>
          <w:pgSz w:w="11910" w:h="16840"/>
          <w:pgMar w:top="1420" w:right="1122" w:bottom="1172" w:left="1302" w:header="0" w:footer="955" w:gutter="0"/>
          <w:cols w:space="720" w:num="1"/>
        </w:sectPr>
      </w:pPr>
    </w:p>
    <w:p w14:paraId="00C635F9">
      <w:pPr>
        <w:spacing w:before="143" w:line="224" w:lineRule="auto"/>
        <w:outlineLvl w:val="9"/>
        <w:rPr>
          <w:rFonts w:hint="eastAsia" w:ascii="宋体" w:hAnsi="宋体" w:eastAsia="宋体" w:cs="宋体"/>
          <w:sz w:val="31"/>
          <w:szCs w:val="31"/>
          <w:lang w:eastAsia="zh-CN"/>
        </w:rPr>
      </w:pPr>
      <w:r>
        <w:rPr>
          <w:rFonts w:hint="eastAsia" w:ascii="Times New Roman" w:hAnsi="宋体" w:eastAsia="微软雅黑" w:cs="宋体"/>
          <w:b/>
          <w:bCs/>
          <w:snapToGrid w:val="0"/>
          <w:color w:val="000000"/>
          <w:spacing w:val="-9"/>
          <w:kern w:val="0"/>
          <w:sz w:val="31"/>
          <w:szCs w:val="31"/>
          <w:lang w:val="en-US" w:eastAsia="zh-CN" w:bidi="ar-SA"/>
        </w:rPr>
        <w:t>addendum ：</w:t>
      </w:r>
    </w:p>
    <w:p w14:paraId="4DE8D552">
      <w:pPr>
        <w:spacing w:before="252" w:line="225" w:lineRule="auto"/>
        <w:ind w:left="1610"/>
        <w:outlineLvl w:val="9"/>
        <w:rPr>
          <w:rFonts w:hint="eastAsia" w:ascii="宋体" w:hAnsi="宋体" w:eastAsia="宋体" w:cs="宋体"/>
          <w:sz w:val="31"/>
          <w:szCs w:val="31"/>
          <w:lang w:eastAsia="zh-CN"/>
        </w:rPr>
      </w:pPr>
      <w:r>
        <w:rPr>
          <w:rFonts w:hint="eastAsia" w:ascii="Times New Roman" w:hAnsi="宋体" w:eastAsia="微软雅黑" w:cs="宋体"/>
          <w:b/>
          <w:bCs/>
          <w:snapToGrid w:val="0"/>
          <w:color w:val="000000"/>
          <w:spacing w:val="7"/>
          <w:kern w:val="0"/>
          <w:sz w:val="31"/>
          <w:szCs w:val="31"/>
          <w:lang w:val="en-US" w:eastAsia="zh-CN" w:bidi="ar-SA"/>
        </w:rPr>
        <w:t>Bid security certificate and information on bid security refund</w:t>
      </w:r>
    </w:p>
    <w:p w14:paraId="25DC16D9">
      <w:pPr>
        <w:pStyle w:val="5"/>
        <w:spacing w:line="241" w:lineRule="auto"/>
      </w:pPr>
    </w:p>
    <w:p w14:paraId="5F042B76">
      <w:pPr>
        <w:pStyle w:val="5"/>
        <w:spacing w:line="242" w:lineRule="auto"/>
      </w:pPr>
    </w:p>
    <w:p w14:paraId="00AE0CBF">
      <w:pPr>
        <w:spacing w:before="78" w:line="220" w:lineRule="auto"/>
        <w:ind w:left="215"/>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project name ：</w:t>
      </w:r>
    </w:p>
    <w:p w14:paraId="2839FFEF">
      <w:pPr>
        <w:spacing w:before="158" w:line="219" w:lineRule="auto"/>
        <w:ind w:left="212"/>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Bidding number: Package number: (if any)           Bidding number: Package number: (if any)</w:t>
      </w:r>
    </w:p>
    <w:p w14:paraId="4E0A66C1">
      <w:pPr>
        <w:spacing w:line="121" w:lineRule="auto"/>
        <w:rPr>
          <w:rFonts w:ascii="Arial"/>
          <w:sz w:val="2"/>
        </w:rPr>
      </w:pPr>
    </w:p>
    <w:tbl>
      <w:tblPr>
        <w:tblStyle w:val="16"/>
        <w:tblW w:w="8501"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2"/>
        <w:gridCol w:w="2629"/>
      </w:tblGrid>
      <w:tr w14:paraId="235FE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02ABF367">
            <w:pPr>
              <w:pStyle w:val="17"/>
              <w:spacing w:before="156" w:line="216" w:lineRule="auto"/>
              <w:ind w:left="12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Bidder name:</w:t>
            </w:r>
          </w:p>
        </w:tc>
      </w:tr>
      <w:tr w14:paraId="3243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872" w:type="dxa"/>
            <w:vAlign w:val="top"/>
          </w:tcPr>
          <w:p w14:paraId="556A148F">
            <w:pPr>
              <w:pStyle w:val="17"/>
              <w:spacing w:before="149" w:line="219" w:lineRule="auto"/>
              <w:ind w:left="120"/>
              <w:rPr>
                <w:rFonts w:hint="eastAsia" w:eastAsia="宋体"/>
                <w:lang w:eastAsia="zh-CN"/>
              </w:rPr>
            </w:pPr>
            <w:r>
              <w:rPr>
                <w:rFonts w:hint="eastAsia" w:ascii="Times New Roman" w:hAnsi="宋体" w:eastAsia="微软雅黑" w:cs="宋体"/>
                <w:snapToGrid w:val="0"/>
                <w:color w:val="000000"/>
                <w:spacing w:val="-7"/>
                <w:kern w:val="0"/>
                <w:sz w:val="24"/>
                <w:szCs w:val="24"/>
                <w:lang w:val="en-US" w:eastAsia="zh-CN" w:bidi="ar-SA"/>
              </w:rPr>
              <w:t>The amount of the deposit submitted: (in words)</w:t>
            </w:r>
          </w:p>
        </w:tc>
        <w:tc>
          <w:tcPr>
            <w:tcW w:w="2629" w:type="dxa"/>
            <w:vAlign w:val="top"/>
          </w:tcPr>
          <w:p w14:paraId="035A2F57">
            <w:pPr>
              <w:pStyle w:val="17"/>
              <w:spacing w:before="148" w:line="220" w:lineRule="auto"/>
              <w:ind w:left="13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(Unit: yuan)</w:t>
            </w:r>
          </w:p>
        </w:tc>
      </w:tr>
      <w:tr w14:paraId="75BF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7B283ADF">
            <w:pPr>
              <w:pStyle w:val="17"/>
              <w:spacing w:before="154" w:line="214" w:lineRule="auto"/>
              <w:ind w:left="122"/>
              <w:rPr>
                <w:rFonts w:hint="eastAsia" w:eastAsia="宋体"/>
                <w:lang w:eastAsia="zh-CN"/>
              </w:rPr>
            </w:pPr>
            <w:r>
              <w:rPr>
                <w:rFonts w:hint="eastAsia" w:ascii="Times New Roman" w:hAnsi="宋体" w:eastAsia="微软雅黑" w:cs="宋体"/>
                <w:snapToGrid w:val="0"/>
                <w:color w:val="000000"/>
                <w:spacing w:val="-8"/>
                <w:kern w:val="0"/>
                <w:sz w:val="24"/>
                <w:szCs w:val="24"/>
                <w:lang w:val="en-US" w:eastAsia="zh-CN" w:bidi="ar-SA"/>
              </w:rPr>
              <w:t>Name of the bidder's bank: (write the full name of the bank, not the abbreviation.)</w:t>
            </w:r>
          </w:p>
        </w:tc>
      </w:tr>
      <w:tr w14:paraId="312D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49401CCA">
            <w:pPr>
              <w:pStyle w:val="17"/>
              <w:spacing w:before="150" w:line="219" w:lineRule="auto"/>
              <w:ind w:left="122"/>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Bidder's bank account number:</w:t>
            </w:r>
          </w:p>
        </w:tc>
      </w:tr>
      <w:tr w14:paraId="3E75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01" w:type="dxa"/>
            <w:gridSpan w:val="2"/>
            <w:vAlign w:val="top"/>
          </w:tcPr>
          <w:p w14:paraId="4D7729A3">
            <w:pPr>
              <w:pStyle w:val="17"/>
              <w:spacing w:before="154" w:line="214" w:lineRule="auto"/>
              <w:ind w:left="122"/>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Taxpayer identification number of the bidder:</w:t>
            </w:r>
          </w:p>
        </w:tc>
      </w:tr>
      <w:tr w14:paraId="4F97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501" w:type="dxa"/>
            <w:gridSpan w:val="2"/>
            <w:vAlign w:val="top"/>
          </w:tcPr>
          <w:p w14:paraId="7A0CD991">
            <w:pPr>
              <w:pStyle w:val="17"/>
              <w:spacing w:before="152" w:line="217" w:lineRule="auto"/>
              <w:ind w:left="122"/>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Bidder address:</w:t>
            </w:r>
          </w:p>
        </w:tc>
      </w:tr>
      <w:tr w14:paraId="79E6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01" w:type="dxa"/>
            <w:gridSpan w:val="2"/>
            <w:vAlign w:val="top"/>
          </w:tcPr>
          <w:p w14:paraId="2E373710">
            <w:pPr>
              <w:pStyle w:val="17"/>
              <w:spacing w:before="156" w:line="216" w:lineRule="auto"/>
              <w:ind w:left="120"/>
              <w:rPr>
                <w:rFonts w:hint="eastAsia" w:eastAsia="宋体"/>
                <w:lang w:eastAsia="zh-CN"/>
              </w:rPr>
            </w:pPr>
            <w:r>
              <w:rPr>
                <w:rFonts w:hint="eastAsia" w:ascii="Times New Roman" w:hAnsi="宋体" w:eastAsia="微软雅黑" w:cs="宋体"/>
                <w:snapToGrid w:val="0"/>
                <w:color w:val="000000"/>
                <w:spacing w:val="-3"/>
                <w:kern w:val="0"/>
                <w:sz w:val="24"/>
                <w:szCs w:val="24"/>
                <w:lang w:val="en-US" w:eastAsia="zh-CN" w:bidi="ar-SA"/>
              </w:rPr>
              <w:t>Contact: Phone:           Contact: Phone:</w:t>
            </w:r>
          </w:p>
        </w:tc>
      </w:tr>
    </w:tbl>
    <w:p w14:paraId="47B243C9">
      <w:pPr>
        <w:spacing w:before="151" w:line="345" w:lineRule="auto"/>
        <w:ind w:left="805" w:right="118" w:hanging="519"/>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Note: The above information should be filled in clearly as required. If the deposit cannot be refunded in time due to incorrect filling, the bidder shall be responsible for it.</w:t>
      </w:r>
    </w:p>
    <w:p w14:paraId="795A167E">
      <w:pPr>
        <w:spacing w:before="52"/>
      </w:pPr>
    </w:p>
    <w:p w14:paraId="2EDD3F1A">
      <w:pPr>
        <w:spacing w:before="52"/>
      </w:pPr>
    </w:p>
    <w:p w14:paraId="15226C23">
      <w:pPr>
        <w:spacing w:before="52"/>
      </w:pPr>
    </w:p>
    <w:p w14:paraId="20F2790C">
      <w:pPr>
        <w:spacing w:before="51"/>
      </w:pPr>
    </w:p>
    <w:tbl>
      <w:tblPr>
        <w:tblStyle w:val="16"/>
        <w:tblW w:w="8495" w:type="dxa"/>
        <w:tblInd w:w="25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495"/>
      </w:tblGrid>
      <w:tr w14:paraId="1FE03A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69" w:hRule="atLeast"/>
        </w:trPr>
        <w:tc>
          <w:tcPr>
            <w:tcW w:w="8495" w:type="dxa"/>
            <w:vAlign w:val="top"/>
          </w:tcPr>
          <w:p w14:paraId="7AD257E6">
            <w:pPr>
              <w:spacing w:line="278" w:lineRule="auto"/>
              <w:rPr>
                <w:rFonts w:ascii="Arial"/>
                <w:sz w:val="21"/>
              </w:rPr>
            </w:pPr>
          </w:p>
          <w:p w14:paraId="227C529D">
            <w:pPr>
              <w:spacing w:line="278" w:lineRule="auto"/>
              <w:rPr>
                <w:rFonts w:ascii="Arial"/>
                <w:sz w:val="21"/>
              </w:rPr>
            </w:pPr>
          </w:p>
          <w:p w14:paraId="571720C8">
            <w:pPr>
              <w:spacing w:line="278" w:lineRule="auto"/>
              <w:rPr>
                <w:rFonts w:ascii="Arial"/>
                <w:sz w:val="21"/>
              </w:rPr>
            </w:pPr>
          </w:p>
          <w:p w14:paraId="1C154AC7">
            <w:pPr>
              <w:spacing w:line="279" w:lineRule="auto"/>
              <w:rPr>
                <w:rFonts w:ascii="Arial"/>
                <w:sz w:val="21"/>
              </w:rPr>
            </w:pPr>
          </w:p>
          <w:p w14:paraId="4805F538">
            <w:pPr>
              <w:spacing w:line="279" w:lineRule="auto"/>
              <w:rPr>
                <w:rFonts w:ascii="Arial"/>
                <w:sz w:val="21"/>
              </w:rPr>
            </w:pPr>
          </w:p>
          <w:p w14:paraId="51B190F5">
            <w:pPr>
              <w:pStyle w:val="17"/>
              <w:spacing w:before="78" w:line="219" w:lineRule="auto"/>
              <w:ind w:left="2347"/>
              <w:rPr>
                <w:rFonts w:hint="eastAsia" w:eastAsia="宋体"/>
                <w:lang w:eastAsia="zh-CN"/>
              </w:rPr>
            </w:pPr>
            <w:r>
              <w:rPr>
                <w:rFonts w:hint="eastAsia" w:ascii="Times New Roman" w:hAnsi="宋体" w:eastAsia="微软雅黑" w:cs="宋体"/>
                <w:snapToGrid w:val="0"/>
                <w:color w:val="000000"/>
                <w:spacing w:val="-2"/>
                <w:kern w:val="0"/>
                <w:sz w:val="24"/>
                <w:szCs w:val="24"/>
                <w:lang w:val="en-US" w:eastAsia="zh-CN" w:bidi="ar-SA"/>
              </w:rPr>
              <w:t>Appendix: Copy of the security certificate stamped by the bidder</w:t>
            </w:r>
          </w:p>
        </w:tc>
      </w:tr>
    </w:tbl>
    <w:p w14:paraId="1823EA63">
      <w:pPr>
        <w:pStyle w:val="5"/>
      </w:pPr>
    </w:p>
    <w:p w14:paraId="25C26DE0">
      <w:pPr>
        <w:sectPr>
          <w:footerReference r:id="rId9" w:type="default"/>
          <w:pgSz w:w="11910" w:h="16840"/>
          <w:pgMar w:top="1431" w:right="1418" w:bottom="1172" w:left="1455" w:header="0" w:footer="955" w:gutter="0"/>
          <w:cols w:space="720" w:num="1"/>
        </w:sectPr>
      </w:pPr>
    </w:p>
    <w:p w14:paraId="266CC3EA">
      <w:pPr>
        <w:pStyle w:val="5"/>
        <w:spacing w:line="249" w:lineRule="auto"/>
      </w:pPr>
    </w:p>
    <w:p w14:paraId="32B93A79">
      <w:pPr>
        <w:spacing w:before="114" w:line="227" w:lineRule="auto"/>
        <w:ind w:left="2960"/>
        <w:outlineLvl w:val="0"/>
        <w:rPr>
          <w:rFonts w:hint="eastAsia" w:ascii="黑体" w:hAnsi="黑体" w:eastAsia="黑体" w:cs="黑体"/>
          <w:sz w:val="35"/>
          <w:szCs w:val="35"/>
          <w:lang w:eastAsia="zh-CN"/>
        </w:rPr>
      </w:pPr>
      <w:bookmarkStart w:id="2" w:name="_Toc18653"/>
      <w:r>
        <w:rPr>
          <w:rFonts w:hint="eastAsia" w:ascii="Times New Roman" w:hAnsi="黑体" w:eastAsia="微软雅黑" w:cs="黑体"/>
          <w:b/>
          <w:bCs/>
          <w:snapToGrid w:val="0"/>
          <w:color w:val="000000"/>
          <w:spacing w:val="5"/>
          <w:kern w:val="0"/>
          <w:sz w:val="35"/>
          <w:szCs w:val="35"/>
          <w:lang w:val="en-US" w:eastAsia="zh-CN" w:bidi="ar-SA"/>
        </w:rPr>
        <w:t>Chapter VII Special Terms of the Contract</w:t>
      </w:r>
      <w:bookmarkEnd w:id="2"/>
    </w:p>
    <w:p w14:paraId="13B8DC94">
      <w:pPr>
        <w:spacing w:before="286" w:line="346" w:lineRule="auto"/>
        <w:ind w:left="162" w:right="153" w:firstLine="279"/>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specific information about the goods to be purchased in this table is a specific supplement and modification to the general terms of the contract. In case of contradiction, this information sheet shall prevail.</w:t>
      </w:r>
    </w:p>
    <w:tbl>
      <w:tblPr>
        <w:tblStyle w:val="16"/>
        <w:tblW w:w="92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8063"/>
      </w:tblGrid>
      <w:tr w14:paraId="3505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37" w:type="dxa"/>
            <w:tcBorders>
              <w:top w:val="single" w:color="000000" w:sz="10" w:space="0"/>
              <w:left w:val="single" w:color="000000" w:sz="10" w:space="0"/>
            </w:tcBorders>
            <w:vAlign w:val="center"/>
          </w:tcPr>
          <w:p w14:paraId="6EDD853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215"/>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regulation number</w:t>
            </w:r>
          </w:p>
        </w:tc>
        <w:tc>
          <w:tcPr>
            <w:tcW w:w="8063" w:type="dxa"/>
            <w:tcBorders>
              <w:top w:val="single" w:color="000000" w:sz="10" w:space="0"/>
              <w:right w:val="single" w:color="000000" w:sz="10" w:space="0"/>
            </w:tcBorders>
            <w:vAlign w:val="top"/>
          </w:tcPr>
          <w:p w14:paraId="3524B838">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55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0"/>
                <w:kern w:val="0"/>
                <w:sz w:val="24"/>
                <w:szCs w:val="24"/>
                <w:lang w:val="en-US" w:eastAsia="zh-CN" w:bidi="ar-SA"/>
              </w:rPr>
              <w:t>content</w:t>
            </w:r>
          </w:p>
        </w:tc>
      </w:tr>
      <w:tr w14:paraId="4CE7D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1137" w:type="dxa"/>
            <w:tcBorders>
              <w:left w:val="single" w:color="000000" w:sz="10" w:space="0"/>
            </w:tcBorders>
            <w:vAlign w:val="center"/>
          </w:tcPr>
          <w:p w14:paraId="40CE22C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0"/>
                <w:kern w:val="0"/>
                <w:sz w:val="24"/>
                <w:szCs w:val="24"/>
                <w:lang w:val="en-US" w:eastAsia="zh-CN" w:bidi="ar-SA"/>
              </w:rPr>
              <w:t>1.1</w:t>
            </w:r>
          </w:p>
        </w:tc>
        <w:tc>
          <w:tcPr>
            <w:tcW w:w="8063" w:type="dxa"/>
            <w:tcBorders>
              <w:right w:val="single" w:color="000000" w:sz="10" w:space="0"/>
            </w:tcBorders>
            <w:vAlign w:val="top"/>
          </w:tcPr>
          <w:p w14:paraId="10D3DBB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5"/>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Buyer name:</w:t>
            </w:r>
          </w:p>
          <w:p w14:paraId="0BDFD3F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7"/>
                <w:kern w:val="0"/>
                <w:sz w:val="24"/>
                <w:szCs w:val="24"/>
                <w:lang w:val="en-US" w:eastAsia="zh-CN" w:bidi="ar-SA"/>
              </w:rPr>
              <w:t>address ：</w:t>
            </w:r>
          </w:p>
          <w:p w14:paraId="079CF1DA">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Project site name:</w:t>
            </w:r>
          </w:p>
        </w:tc>
      </w:tr>
      <w:tr w14:paraId="1244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137" w:type="dxa"/>
            <w:tcBorders>
              <w:left w:val="single" w:color="000000" w:sz="10" w:space="0"/>
            </w:tcBorders>
            <w:vAlign w:val="center"/>
          </w:tcPr>
          <w:p w14:paraId="063130D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7.1</w:t>
            </w:r>
          </w:p>
        </w:tc>
        <w:tc>
          <w:tcPr>
            <w:tcW w:w="8063" w:type="dxa"/>
            <w:tcBorders>
              <w:right w:val="single" w:color="000000" w:sz="10" w:space="0"/>
            </w:tcBorders>
            <w:vAlign w:val="top"/>
          </w:tcPr>
          <w:p w14:paraId="69F2B07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amount: Not applicable</w:t>
            </w:r>
          </w:p>
          <w:p w14:paraId="2BC2C9F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currency: Not applicable</w:t>
            </w:r>
          </w:p>
        </w:tc>
      </w:tr>
      <w:tr w14:paraId="0D49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72527C5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7.3</w:t>
            </w:r>
          </w:p>
        </w:tc>
        <w:tc>
          <w:tcPr>
            <w:tcW w:w="8063" w:type="dxa"/>
            <w:tcBorders>
              <w:right w:val="single" w:color="000000" w:sz="10" w:space="0"/>
            </w:tcBorders>
            <w:vAlign w:val="top"/>
          </w:tcPr>
          <w:p w14:paraId="7D1BC5E5">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2"/>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Performance bond form: Not applicable</w:t>
            </w:r>
          </w:p>
        </w:tc>
      </w:tr>
      <w:tr w14:paraId="26D8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F0E1D9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5"/>
                <w:kern w:val="0"/>
                <w:sz w:val="24"/>
                <w:szCs w:val="24"/>
                <w:lang w:val="en-US" w:eastAsia="zh-CN" w:bidi="ar-SA"/>
              </w:rPr>
              <w:t>11</w:t>
            </w:r>
          </w:p>
        </w:tc>
        <w:tc>
          <w:tcPr>
            <w:tcW w:w="8063" w:type="dxa"/>
            <w:tcBorders>
              <w:right w:val="single" w:color="000000" w:sz="10" w:space="0"/>
            </w:tcBorders>
            <w:vAlign w:val="top"/>
          </w:tcPr>
          <w:p w14:paraId="47FC7830">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64"/>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5"/>
                <w:kern w:val="0"/>
                <w:sz w:val="24"/>
                <w:szCs w:val="24"/>
                <w:lang w:val="en-US" w:eastAsia="zh-CN" w:bidi="ar-SA"/>
              </w:rPr>
              <w:t>Destination port: China·Nanchang Port</w:t>
            </w:r>
          </w:p>
        </w:tc>
      </w:tr>
      <w:tr w14:paraId="3EB2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37" w:type="dxa"/>
            <w:tcBorders>
              <w:left w:val="single" w:color="000000" w:sz="10" w:space="0"/>
            </w:tcBorders>
            <w:vAlign w:val="center"/>
          </w:tcPr>
          <w:p w14:paraId="2E27881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16.1</w:t>
            </w:r>
          </w:p>
        </w:tc>
        <w:tc>
          <w:tcPr>
            <w:tcW w:w="8063" w:type="dxa"/>
            <w:tcBorders>
              <w:right w:val="single" w:color="000000" w:sz="10" w:space="0"/>
            </w:tcBorders>
            <w:vAlign w:val="top"/>
          </w:tcPr>
          <w:p w14:paraId="11757B8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8"/>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Accompanying services to be provided: see technical specifications</w:t>
            </w:r>
          </w:p>
        </w:tc>
      </w:tr>
      <w:tr w14:paraId="5FC9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1137" w:type="dxa"/>
            <w:tcBorders>
              <w:left w:val="single" w:color="000000" w:sz="10" w:space="0"/>
            </w:tcBorders>
            <w:vAlign w:val="center"/>
          </w:tcPr>
          <w:p w14:paraId="33EE48F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17.2</w:t>
            </w:r>
          </w:p>
        </w:tc>
        <w:tc>
          <w:tcPr>
            <w:tcW w:w="8063" w:type="dxa"/>
            <w:tcBorders>
              <w:right w:val="single" w:color="000000" w:sz="10" w:space="0"/>
            </w:tcBorders>
            <w:vAlign w:val="top"/>
          </w:tcPr>
          <w:p w14:paraId="5E6D2652">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Parts and accessories requirements:</w:t>
            </w:r>
          </w:p>
          <w:p w14:paraId="4B2D581F">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right="138" w:firstLine="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 Provide the list of spare parts (including wear parts) required for the normal operation of goods for ten years and their unchanged price;</w:t>
            </w:r>
          </w:p>
          <w:p w14:paraId="77BCB994">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21" w:right="188" w:hanging="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 In the case of suspension of production of spare parts and wear parts, the seller shall be able to reserve spare parts for the buyer for 5 to 10 years.</w:t>
            </w:r>
          </w:p>
        </w:tc>
      </w:tr>
      <w:tr w14:paraId="7131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5E5A1FE7">
            <w:pPr>
              <w:keepNext w:val="0"/>
              <w:keepLines w:val="0"/>
              <w:pageBreakBefore w:val="0"/>
              <w:widowControl/>
              <w:kinsoku w:val="0"/>
              <w:wordWrap/>
              <w:overflowPunct/>
              <w:topLinePunct w:val="0"/>
              <w:autoSpaceDE w:val="0"/>
              <w:autoSpaceDN w:val="0"/>
              <w:bidi w:val="0"/>
              <w:adjustRightInd w:val="0"/>
              <w:snapToGrid w:val="0"/>
              <w:spacing w:line="500" w:lineRule="exact"/>
              <w:ind w:left="310"/>
              <w:jc w:val="both"/>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*18.2</w:t>
            </w:r>
          </w:p>
        </w:tc>
        <w:tc>
          <w:tcPr>
            <w:tcW w:w="8063" w:type="dxa"/>
            <w:tcBorders>
              <w:right w:val="single" w:color="000000" w:sz="10" w:space="0"/>
            </w:tcBorders>
            <w:vAlign w:val="top"/>
          </w:tcPr>
          <w:p w14:paraId="5F326D5B">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1"/>
                <w:kern w:val="0"/>
                <w:sz w:val="24"/>
                <w:szCs w:val="24"/>
                <w:shd w:val="clear" w:fill="FFFF00"/>
                <w:lang w:val="en-US" w:eastAsia="zh-CN" w:bidi="ar-SA"/>
              </w:rPr>
              <w:t>Warranty period: five years after the final acceptance of the contract goods.</w:t>
            </w:r>
          </w:p>
        </w:tc>
      </w:tr>
      <w:tr w14:paraId="39B6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137" w:type="dxa"/>
            <w:tcBorders>
              <w:left w:val="single" w:color="000000" w:sz="10" w:space="0"/>
            </w:tcBorders>
            <w:vAlign w:val="center"/>
          </w:tcPr>
          <w:p w14:paraId="769B805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8"/>
                <w:kern w:val="0"/>
                <w:sz w:val="24"/>
                <w:szCs w:val="24"/>
                <w:lang w:val="en-US" w:eastAsia="zh-CN" w:bidi="ar-SA"/>
              </w:rPr>
              <w:t>18.4</w:t>
            </w:r>
          </w:p>
        </w:tc>
        <w:tc>
          <w:tcPr>
            <w:tcW w:w="8063" w:type="dxa"/>
            <w:tcBorders>
              <w:right w:val="single" w:color="000000" w:sz="10" w:space="0"/>
            </w:tcBorders>
            <w:vAlign w:val="top"/>
          </w:tcPr>
          <w:p w14:paraId="6E1069E3">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right="258" w:firstLine="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The period for free repair and replacement of defective equipment or parts is that the engineer must arrive at the site within 24 hours after the seller receives the formal notice from the buyer.</w:t>
            </w:r>
          </w:p>
        </w:tc>
      </w:tr>
      <w:tr w14:paraId="4587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37" w:type="dxa"/>
            <w:tcBorders>
              <w:left w:val="single" w:color="000000" w:sz="10" w:space="0"/>
            </w:tcBorders>
            <w:vAlign w:val="center"/>
          </w:tcPr>
          <w:p w14:paraId="3D00962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4"/>
                <w:kern w:val="0"/>
                <w:sz w:val="24"/>
                <w:szCs w:val="24"/>
                <w:lang w:val="en-US" w:eastAsia="zh-CN" w:bidi="ar-SA"/>
              </w:rPr>
              <w:t>*20.1</w:t>
            </w:r>
          </w:p>
        </w:tc>
        <w:tc>
          <w:tcPr>
            <w:tcW w:w="8063" w:type="dxa"/>
            <w:tcBorders>
              <w:right w:val="single" w:color="000000" w:sz="10" w:space="0"/>
            </w:tcBorders>
            <w:vAlign w:val="top"/>
          </w:tcPr>
          <w:p w14:paraId="45E93C3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Payment method and terms:</w:t>
            </w:r>
          </w:p>
          <w:p w14:paraId="6D1A56BF">
            <w:pPr>
              <w:pStyle w:val="17"/>
              <w:keepNext w:val="0"/>
              <w:keepLines w:val="0"/>
              <w:pageBreakBefore w:val="0"/>
              <w:widowControl/>
              <w:tabs>
                <w:tab w:val="left" w:pos="136"/>
              </w:tabs>
              <w:kinsoku w:val="0"/>
              <w:wordWrap/>
              <w:overflowPunct/>
              <w:topLinePunct w:val="0"/>
              <w:autoSpaceDE w:val="0"/>
              <w:autoSpaceDN w:val="0"/>
              <w:bidi w:val="0"/>
              <w:adjustRightInd w:val="0"/>
              <w:snapToGrid w:val="0"/>
              <w:spacing w:line="500" w:lineRule="exact"/>
              <w:ind w:left="11" w:right="104" w:hanging="11"/>
              <w:textAlignment w:val="baseline"/>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3"/>
                <w:kern w:val="0"/>
                <w:sz w:val="24"/>
                <w:szCs w:val="24"/>
                <w:shd w:val="clear" w:fill="FFFF00"/>
                <w:lang w:val="en-US" w:eastAsia="zh-CN" w:bidi="ar-SA"/>
              </w:rPr>
              <w:t>(Complete equipment, all auxiliary equipment and spare parts) After the purchaser passes the acceptance inspection and receives the legal, equivalent and tax-paid invoice from the winning supplier, the down payment of 90% will be made, and the remaining 10% will be paid within one year after the acceptance inspection.</w:t>
            </w:r>
          </w:p>
        </w:tc>
      </w:tr>
      <w:tr w14:paraId="32E1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37" w:type="dxa"/>
            <w:tcBorders>
              <w:left w:val="single" w:color="000000" w:sz="10" w:space="0"/>
            </w:tcBorders>
            <w:vAlign w:val="center"/>
          </w:tcPr>
          <w:p w14:paraId="154E7E5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21</w:t>
            </w:r>
          </w:p>
        </w:tc>
        <w:tc>
          <w:tcPr>
            <w:tcW w:w="8063" w:type="dxa"/>
            <w:tcBorders>
              <w:right w:val="single" w:color="000000" w:sz="10" w:space="0"/>
            </w:tcBorders>
            <w:vAlign w:val="top"/>
          </w:tcPr>
          <w:p w14:paraId="13CE18A6">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
                <w:kern w:val="0"/>
                <w:sz w:val="24"/>
                <w:szCs w:val="24"/>
                <w:lang w:val="en-US" w:eastAsia="zh-CN" w:bidi="ar-SA"/>
              </w:rPr>
              <w:t>The fees for the goods submitted under this contract and the services performed are included in the total bid price.</w:t>
            </w:r>
          </w:p>
        </w:tc>
      </w:tr>
      <w:tr w14:paraId="07DA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1137" w:type="dxa"/>
            <w:tcBorders>
              <w:left w:val="single" w:color="000000" w:sz="10" w:space="0"/>
            </w:tcBorders>
            <w:vAlign w:val="center"/>
          </w:tcPr>
          <w:p w14:paraId="466328F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5"/>
                <w:kern w:val="0"/>
                <w:sz w:val="24"/>
                <w:szCs w:val="24"/>
                <w:lang w:val="en-US" w:eastAsia="zh-CN" w:bidi="ar-SA"/>
              </w:rPr>
              <w:t>35</w:t>
            </w:r>
          </w:p>
        </w:tc>
        <w:tc>
          <w:tcPr>
            <w:tcW w:w="8063" w:type="dxa"/>
            <w:tcBorders>
              <w:right w:val="single" w:color="000000" w:sz="10" w:space="0"/>
            </w:tcBorders>
            <w:vAlign w:val="top"/>
          </w:tcPr>
          <w:p w14:paraId="2BE21C11">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3"/>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2"/>
                <w:kern w:val="0"/>
                <w:sz w:val="24"/>
                <w:szCs w:val="24"/>
                <w:lang w:val="en-US" w:eastAsia="zh-CN" w:bidi="ar-SA"/>
              </w:rPr>
              <w:t>Seller's notice delivery address:</w:t>
            </w:r>
          </w:p>
          <w:p w14:paraId="3A1286DE">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contact number ：</w:t>
            </w:r>
          </w:p>
          <w:p w14:paraId="68FE31BD">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17"/>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3"/>
                <w:kern w:val="0"/>
                <w:sz w:val="24"/>
                <w:szCs w:val="24"/>
                <w:lang w:val="en-US" w:eastAsia="zh-CN" w:bidi="ar-SA"/>
              </w:rPr>
              <w:t>portraiture ：</w:t>
            </w:r>
          </w:p>
          <w:p w14:paraId="294C515C">
            <w:pPr>
              <w:pStyle w:val="17"/>
              <w:keepNext w:val="0"/>
              <w:keepLines w:val="0"/>
              <w:pageBreakBefore w:val="0"/>
              <w:widowControl/>
              <w:kinsoku w:val="0"/>
              <w:wordWrap/>
              <w:overflowPunct/>
              <w:topLinePunct w:val="0"/>
              <w:autoSpaceDE w:val="0"/>
              <w:autoSpaceDN w:val="0"/>
              <w:bidi w:val="0"/>
              <w:adjustRightInd w:val="0"/>
              <w:snapToGrid w:val="0"/>
              <w:spacing w:line="500" w:lineRule="exact"/>
              <w:ind w:left="136"/>
              <w:textAlignment w:val="baseline"/>
              <w:rPr>
                <w:rFonts w:hint="eastAsia" w:ascii="宋体" w:hAnsi="宋体" w:eastAsia="宋体" w:cs="宋体"/>
                <w:sz w:val="24"/>
                <w:szCs w:val="24"/>
                <w:lang w:eastAsia="zh-CN"/>
              </w:rPr>
            </w:pPr>
            <w:r>
              <w:rPr>
                <w:rFonts w:hint="eastAsia" w:ascii="Times New Roman" w:hAnsi="宋体" w:eastAsia="微软雅黑" w:cs="宋体"/>
                <w:snapToGrid w:val="0"/>
                <w:color w:val="000000"/>
                <w:spacing w:val="-10"/>
                <w:kern w:val="0"/>
                <w:sz w:val="24"/>
                <w:szCs w:val="24"/>
                <w:lang w:val="en-US" w:eastAsia="zh-CN" w:bidi="ar-SA"/>
              </w:rPr>
              <w:t>zip code ：</w:t>
            </w:r>
          </w:p>
        </w:tc>
      </w:tr>
    </w:tbl>
    <w:p w14:paraId="6D0953A2">
      <w:pPr>
        <w:spacing w:line="220" w:lineRule="auto"/>
        <w:jc w:val="right"/>
        <w:rPr>
          <w:rFonts w:ascii="宋体" w:hAnsi="宋体" w:eastAsia="宋体" w:cs="宋体"/>
          <w:sz w:val="18"/>
          <w:szCs w:val="18"/>
        </w:rPr>
      </w:pPr>
    </w:p>
    <w:p w14:paraId="1ACC8FF6">
      <w:pPr>
        <w:spacing w:line="220" w:lineRule="auto"/>
        <w:rPr>
          <w:rFonts w:ascii="宋体" w:hAnsi="宋体" w:eastAsia="宋体" w:cs="宋体"/>
          <w:sz w:val="18"/>
          <w:szCs w:val="18"/>
        </w:rPr>
        <w:sectPr>
          <w:footerReference r:id="rId10" w:type="default"/>
          <w:pgSz w:w="11910" w:h="16840"/>
          <w:pgMar w:top="1431" w:right="1418" w:bottom="400" w:left="1265" w:header="0" w:footer="0" w:gutter="0"/>
          <w:cols w:space="720" w:num="1"/>
        </w:sectPr>
      </w:pPr>
    </w:p>
    <w:p w14:paraId="259453D5">
      <w:pPr>
        <w:spacing w:before="114" w:line="227" w:lineRule="auto"/>
        <w:ind w:left="1705"/>
        <w:outlineLvl w:val="0"/>
        <w:rPr>
          <w:rFonts w:hint="eastAsia" w:ascii="黑体" w:hAnsi="黑体" w:eastAsia="黑体" w:cs="黑体"/>
          <w:sz w:val="35"/>
          <w:szCs w:val="35"/>
          <w:lang w:eastAsia="zh-CN"/>
        </w:rPr>
      </w:pPr>
      <w:bookmarkStart w:id="3" w:name="_Toc3108"/>
      <w:r>
        <w:rPr>
          <w:rFonts w:hint="eastAsia" w:ascii="Times New Roman" w:hAnsi="黑体" w:eastAsia="微软雅黑" w:cs="黑体"/>
          <w:b/>
          <w:bCs/>
          <w:snapToGrid w:val="0"/>
          <w:color w:val="000000"/>
          <w:spacing w:val="6"/>
          <w:kern w:val="0"/>
          <w:sz w:val="35"/>
          <w:szCs w:val="35"/>
          <w:lang w:val="en-US" w:eastAsia="zh-CN" w:bidi="ar-SA"/>
        </w:rPr>
        <w:t>Chapter VIII List of Cargo Requirements and Technical Specifications</w:t>
      </w:r>
      <w:bookmarkEnd w:id="3"/>
    </w:p>
    <w:p w14:paraId="40B0DD49">
      <w:pPr>
        <w:pStyle w:val="5"/>
        <w:spacing w:line="312" w:lineRule="auto"/>
      </w:pPr>
    </w:p>
    <w:p w14:paraId="46D222CE">
      <w:pPr>
        <w:pStyle w:val="5"/>
        <w:spacing w:line="313" w:lineRule="auto"/>
      </w:pPr>
    </w:p>
    <w:p w14:paraId="7454D64B">
      <w:pPr>
        <w:spacing w:before="98" w:line="222" w:lineRule="auto"/>
        <w:ind w:left="3246"/>
        <w:outlineLvl w:val="1"/>
        <w:rPr>
          <w:rFonts w:hint="eastAsia" w:ascii="黑体" w:hAnsi="黑体" w:eastAsia="黑体" w:cs="黑体"/>
          <w:sz w:val="30"/>
          <w:szCs w:val="30"/>
          <w:lang w:eastAsia="zh-CN"/>
        </w:rPr>
      </w:pPr>
      <w:bookmarkStart w:id="4" w:name="_Toc14475"/>
      <w:r>
        <w:rPr>
          <w:rFonts w:hint="eastAsia" w:ascii="Times New Roman" w:hAnsi="黑体" w:eastAsia="微软雅黑" w:cs="黑体"/>
          <w:b/>
          <w:bCs/>
          <w:snapToGrid w:val="0"/>
          <w:color w:val="000000"/>
          <w:spacing w:val="-4"/>
          <w:kern w:val="0"/>
          <w:sz w:val="30"/>
          <w:szCs w:val="30"/>
          <w:lang w:val="en-US" w:eastAsia="zh-CN" w:bidi="ar-SA"/>
        </w:rPr>
        <w:t>I. List of goods demand</w:t>
      </w:r>
      <w:bookmarkEnd w:id="4"/>
    </w:p>
    <w:tbl>
      <w:tblPr>
        <w:tblStyle w:val="16"/>
        <w:tblW w:w="89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3"/>
        <w:gridCol w:w="5530"/>
      </w:tblGrid>
      <w:tr w14:paraId="2C4E3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3413" w:type="dxa"/>
            <w:tcBorders>
              <w:top w:val="single" w:color="000000" w:sz="10" w:space="0"/>
              <w:left w:val="single" w:color="000000" w:sz="10" w:space="0"/>
            </w:tcBorders>
            <w:vAlign w:val="top"/>
          </w:tcPr>
          <w:p w14:paraId="6A955534">
            <w:pPr>
              <w:pStyle w:val="17"/>
              <w:spacing w:before="111" w:line="219" w:lineRule="auto"/>
              <w:ind w:left="1420"/>
              <w:rPr>
                <w:rFonts w:hint="eastAsia" w:ascii="宋体" w:hAnsi="宋体" w:eastAsia="宋体" w:cs="宋体"/>
                <w:sz w:val="24"/>
                <w:szCs w:val="24"/>
                <w:lang w:eastAsia="zh-CN"/>
              </w:rPr>
            </w:pPr>
            <w:r>
              <w:rPr>
                <w:rFonts w:hint="eastAsia" w:ascii="Times New Roman" w:hAnsi="宋体" w:eastAsia="微软雅黑" w:cs="宋体"/>
                <w:sz w:val="24"/>
                <w:szCs w:val="24"/>
              </w:rPr>
              <w:drawing>
                <wp:anchor distT="0" distB="0" distL="0" distR="0" simplePos="0" relativeHeight="251661312" behindDoc="1" locked="0" layoutInCell="1" allowOverlap="1">
                  <wp:simplePos x="0" y="0"/>
                  <wp:positionH relativeFrom="column">
                    <wp:posOffset>0</wp:posOffset>
                  </wp:positionH>
                  <wp:positionV relativeFrom="paragraph">
                    <wp:posOffset>5715</wp:posOffset>
                  </wp:positionV>
                  <wp:extent cx="2156460" cy="1042035"/>
                  <wp:effectExtent l="0" t="0" r="15240" b="5715"/>
                  <wp:wrapNone/>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4"/>
                          <a:stretch>
                            <a:fillRect/>
                          </a:stretch>
                        </pic:blipFill>
                        <pic:spPr>
                          <a:xfrm>
                            <a:off x="0" y="0"/>
                            <a:ext cx="2156586" cy="1041906"/>
                          </a:xfrm>
                          <a:prstGeom prst="rect">
                            <a:avLst/>
                          </a:prstGeom>
                        </pic:spPr>
                      </pic:pic>
                    </a:graphicData>
                  </a:graphic>
                </wp:anchor>
              </w:drawing>
            </w:r>
            <w:r>
              <w:rPr>
                <w:rFonts w:hint="eastAsia" w:ascii="Times New Roman" w:hAnsi="宋体" w:eastAsia="微软雅黑" w:cs="宋体"/>
                <w:b/>
                <w:bCs/>
                <w:snapToGrid w:val="0"/>
                <w:color w:val="000000"/>
                <w:spacing w:val="-7"/>
                <w:kern w:val="0"/>
                <w:sz w:val="24"/>
                <w:szCs w:val="24"/>
                <w:lang w:val="en-US" w:eastAsia="zh-CN" w:bidi="ar-SA"/>
              </w:rPr>
              <w:t>description</w:t>
            </w:r>
          </w:p>
          <w:p w14:paraId="49C04123">
            <w:pPr>
              <w:spacing w:line="313" w:lineRule="auto"/>
              <w:rPr>
                <w:rFonts w:hint="eastAsia" w:ascii="宋体" w:hAnsi="宋体" w:eastAsia="宋体" w:cs="宋体"/>
                <w:sz w:val="24"/>
                <w:szCs w:val="24"/>
              </w:rPr>
            </w:pPr>
          </w:p>
          <w:p w14:paraId="60F2CE5A">
            <w:pPr>
              <w:pStyle w:val="17"/>
              <w:spacing w:before="91" w:line="220" w:lineRule="auto"/>
              <w:ind w:left="156"/>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25"/>
                <w:kern w:val="0"/>
                <w:sz w:val="24"/>
                <w:szCs w:val="24"/>
                <w:lang w:val="en-US" w:eastAsia="zh-CN" w:bidi="ar-SA"/>
              </w:rPr>
              <w:t>content</w:t>
            </w:r>
          </w:p>
        </w:tc>
        <w:tc>
          <w:tcPr>
            <w:tcW w:w="5530" w:type="dxa"/>
            <w:tcBorders>
              <w:top w:val="single" w:color="000000" w:sz="10" w:space="0"/>
              <w:right w:val="single" w:color="000000" w:sz="10" w:space="0"/>
            </w:tcBorders>
            <w:vAlign w:val="top"/>
          </w:tcPr>
          <w:p w14:paraId="54FA4E90">
            <w:pPr>
              <w:spacing w:line="278" w:lineRule="auto"/>
              <w:rPr>
                <w:rFonts w:hint="eastAsia" w:ascii="宋体" w:hAnsi="宋体" w:eastAsia="宋体" w:cs="宋体"/>
                <w:sz w:val="24"/>
                <w:szCs w:val="24"/>
              </w:rPr>
            </w:pPr>
          </w:p>
          <w:p w14:paraId="28CA5544">
            <w:pPr>
              <w:spacing w:line="278" w:lineRule="auto"/>
              <w:rPr>
                <w:rFonts w:hint="eastAsia" w:ascii="宋体" w:hAnsi="宋体" w:eastAsia="宋体" w:cs="宋体"/>
                <w:sz w:val="24"/>
                <w:szCs w:val="24"/>
              </w:rPr>
            </w:pPr>
          </w:p>
          <w:p w14:paraId="2B8ABA10">
            <w:pPr>
              <w:pStyle w:val="17"/>
              <w:spacing w:before="91" w:line="221" w:lineRule="auto"/>
              <w:ind w:left="1669"/>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Laser and Pulsed Light Workstation</w:t>
            </w:r>
          </w:p>
        </w:tc>
      </w:tr>
      <w:tr w14:paraId="476D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413" w:type="dxa"/>
            <w:tcBorders>
              <w:left w:val="single" w:color="000000" w:sz="10" w:space="0"/>
            </w:tcBorders>
            <w:vAlign w:val="center"/>
          </w:tcPr>
          <w:p w14:paraId="0135234A">
            <w:pPr>
              <w:pStyle w:val="17"/>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general  requirement</w:t>
            </w:r>
          </w:p>
        </w:tc>
        <w:tc>
          <w:tcPr>
            <w:tcW w:w="5530" w:type="dxa"/>
            <w:tcBorders>
              <w:right w:val="single" w:color="000000" w:sz="10" w:space="0"/>
            </w:tcBorders>
            <w:vAlign w:val="center"/>
          </w:tcPr>
          <w:p w14:paraId="2EDF8037">
            <w:pPr>
              <w:pStyle w:val="17"/>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New original equipment</w:t>
            </w:r>
          </w:p>
        </w:tc>
      </w:tr>
      <w:tr w14:paraId="4F92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0FAB72A">
            <w:pPr>
              <w:pStyle w:val="17"/>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10"/>
                <w:kern w:val="0"/>
                <w:sz w:val="24"/>
                <w:szCs w:val="24"/>
                <w:lang w:val="en-US" w:eastAsia="zh-CN" w:bidi="ar-SA"/>
              </w:rPr>
              <w:t>quantity</w:t>
            </w:r>
          </w:p>
        </w:tc>
        <w:tc>
          <w:tcPr>
            <w:tcW w:w="5530" w:type="dxa"/>
            <w:tcBorders>
              <w:right w:val="single" w:color="000000" w:sz="10" w:space="0"/>
            </w:tcBorders>
            <w:vAlign w:val="center"/>
          </w:tcPr>
          <w:p w14:paraId="1B6E343D">
            <w:pPr>
              <w:pStyle w:val="17"/>
              <w:spacing w:before="91" w:line="221" w:lineRule="auto"/>
              <w:jc w:val="center"/>
              <w:rPr>
                <w:rFonts w:hint="default" w:ascii="宋体" w:hAnsi="宋体" w:eastAsia="宋体" w:cs="宋体"/>
                <w:sz w:val="24"/>
                <w:szCs w:val="24"/>
                <w:lang w:val="en-US" w:eastAsia="zh-CN"/>
              </w:rPr>
            </w:pPr>
            <w:r>
              <w:rPr>
                <w:rFonts w:hint="eastAsia" w:ascii="Times New Roman" w:hAnsi="宋体" w:eastAsia="微软雅黑" w:cs="宋体"/>
                <w:b/>
                <w:bCs/>
                <w:snapToGrid w:val="0"/>
                <w:color w:val="000000"/>
                <w:spacing w:val="-4"/>
                <w:kern w:val="0"/>
                <w:sz w:val="24"/>
                <w:szCs w:val="24"/>
                <w:lang w:val="en-US" w:eastAsia="zh-CN" w:bidi="ar-SA"/>
              </w:rPr>
              <w:t>1 unit</w:t>
            </w:r>
          </w:p>
        </w:tc>
      </w:tr>
      <w:tr w14:paraId="3232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45205710">
            <w:pPr>
              <w:pStyle w:val="17"/>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6"/>
                <w:kern w:val="0"/>
                <w:sz w:val="24"/>
                <w:szCs w:val="24"/>
                <w:lang w:val="en-US" w:eastAsia="zh-CN" w:bidi="ar-SA"/>
              </w:rPr>
              <w:t>* date of delivery</w:t>
            </w:r>
          </w:p>
        </w:tc>
        <w:tc>
          <w:tcPr>
            <w:tcW w:w="5530" w:type="dxa"/>
            <w:tcBorders>
              <w:right w:val="single" w:color="000000" w:sz="10" w:space="0"/>
            </w:tcBorders>
            <w:vAlign w:val="center"/>
          </w:tcPr>
          <w:p w14:paraId="56B5CBC4">
            <w:pPr>
              <w:pStyle w:val="17"/>
              <w:spacing w:before="91" w:line="220"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highlight w:val="none"/>
                <w:lang w:val="en-US" w:eastAsia="zh-CN" w:bidi="ar-SA"/>
              </w:rPr>
              <w:t>Within 90 days after the contract is signed</w:t>
            </w:r>
          </w:p>
        </w:tc>
      </w:tr>
      <w:tr w14:paraId="654C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3413" w:type="dxa"/>
            <w:tcBorders>
              <w:left w:val="single" w:color="000000" w:sz="10" w:space="0"/>
            </w:tcBorders>
            <w:vAlign w:val="center"/>
          </w:tcPr>
          <w:p w14:paraId="1EC41C2F">
            <w:pPr>
              <w:pStyle w:val="17"/>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delivery point</w:t>
            </w:r>
          </w:p>
        </w:tc>
        <w:tc>
          <w:tcPr>
            <w:tcW w:w="5530" w:type="dxa"/>
            <w:tcBorders>
              <w:right w:val="single" w:color="000000" w:sz="10" w:space="0"/>
            </w:tcBorders>
            <w:vAlign w:val="center"/>
          </w:tcPr>
          <w:p w14:paraId="29B508AE">
            <w:pPr>
              <w:pStyle w:val="17"/>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Nanchang University First Affiliated Hospital</w:t>
            </w:r>
          </w:p>
        </w:tc>
      </w:tr>
      <w:tr w14:paraId="2D27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3413" w:type="dxa"/>
            <w:tcBorders>
              <w:left w:val="single" w:color="000000" w:sz="10" w:space="0"/>
            </w:tcBorders>
            <w:vAlign w:val="center"/>
          </w:tcPr>
          <w:p w14:paraId="54950601">
            <w:pPr>
              <w:pStyle w:val="17"/>
              <w:spacing w:before="91" w:line="221"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7"/>
                <w:kern w:val="0"/>
                <w:sz w:val="24"/>
                <w:szCs w:val="24"/>
                <w:lang w:val="en-US" w:eastAsia="zh-CN" w:bidi="ar-SA"/>
              </w:rPr>
              <w:t>erecting bed</w:t>
            </w:r>
          </w:p>
        </w:tc>
        <w:tc>
          <w:tcPr>
            <w:tcW w:w="5530" w:type="dxa"/>
            <w:tcBorders>
              <w:right w:val="single" w:color="000000" w:sz="10" w:space="0"/>
            </w:tcBorders>
            <w:vAlign w:val="center"/>
          </w:tcPr>
          <w:p w14:paraId="18DBD380">
            <w:pPr>
              <w:pStyle w:val="17"/>
              <w:spacing w:before="91" w:line="219" w:lineRule="auto"/>
              <w:jc w:val="center"/>
              <w:rPr>
                <w:rFonts w:hint="eastAsia" w:ascii="宋体" w:hAnsi="宋体" w:eastAsia="宋体" w:cs="宋体"/>
                <w:sz w:val="24"/>
                <w:szCs w:val="24"/>
                <w:lang w:eastAsia="zh-CN"/>
              </w:rPr>
            </w:pPr>
            <w:r>
              <w:rPr>
                <w:rFonts w:hint="eastAsia" w:ascii="Times New Roman" w:hAnsi="宋体" w:eastAsia="微软雅黑" w:cs="宋体"/>
                <w:b/>
                <w:bCs/>
                <w:snapToGrid w:val="0"/>
                <w:color w:val="000000"/>
                <w:spacing w:val="-4"/>
                <w:kern w:val="0"/>
                <w:sz w:val="24"/>
                <w:szCs w:val="24"/>
                <w:lang w:val="en-US" w:eastAsia="zh-CN" w:bidi="ar-SA"/>
              </w:rPr>
              <w:t>Nanchang University First Affiliated Hospital</w:t>
            </w:r>
          </w:p>
        </w:tc>
      </w:tr>
    </w:tbl>
    <w:p w14:paraId="61B2A6A1">
      <w:pPr>
        <w:sectPr>
          <w:footerReference r:id="rId11" w:type="default"/>
          <w:pgSz w:w="11910" w:h="16840"/>
          <w:pgMar w:top="1431" w:right="1399" w:bottom="1175" w:left="1459" w:header="0" w:footer="959" w:gutter="0"/>
          <w:cols w:space="720" w:num="1"/>
        </w:sectPr>
      </w:pPr>
    </w:p>
    <w:p w14:paraId="689C39C8">
      <w:pPr>
        <w:spacing w:before="98" w:line="222" w:lineRule="auto"/>
        <w:ind w:left="3869"/>
        <w:outlineLvl w:val="1"/>
        <w:rPr>
          <w:rFonts w:hint="eastAsia" w:ascii="黑体" w:hAnsi="黑体" w:eastAsia="黑体" w:cs="黑体"/>
          <w:sz w:val="30"/>
          <w:szCs w:val="30"/>
          <w:lang w:eastAsia="zh-CN"/>
        </w:rPr>
      </w:pPr>
      <w:bookmarkStart w:id="5" w:name="_Toc29264"/>
      <w:r>
        <w:rPr>
          <w:rFonts w:hint="eastAsia" w:ascii="Times New Roman" w:hAnsi="黑体" w:eastAsia="微软雅黑" w:cs="黑体"/>
          <w:b/>
          <w:bCs/>
          <w:snapToGrid w:val="0"/>
          <w:color w:val="000000"/>
          <w:spacing w:val="-6"/>
          <w:kern w:val="0"/>
          <w:sz w:val="30"/>
          <w:szCs w:val="30"/>
          <w:lang w:val="en-US" w:eastAsia="zh-CN" w:bidi="ar-SA"/>
        </w:rPr>
        <w:t>II. Technical Specifications</w:t>
      </w:r>
      <w:bookmarkEnd w:id="5"/>
    </w:p>
    <w:p w14:paraId="03940187">
      <w:pPr>
        <w:spacing w:line="480" w:lineRule="exact"/>
        <w:ind w:firstLine="480" w:firstLineChars="200"/>
        <w:jc w:val="left"/>
        <w:rPr>
          <w:rFonts w:hint="eastAsia" w:ascii="宋体" w:hAnsi="宋体" w:eastAsia="宋体" w:cs="宋体"/>
          <w:color w:val="auto"/>
          <w:sz w:val="24"/>
          <w:szCs w:val="24"/>
        </w:rPr>
      </w:pPr>
    </w:p>
    <w:p w14:paraId="682D73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1. Scope of application: The product is used in medical institutions for laser beauty and the treatment of various skin diseases.</w:t>
      </w:r>
    </w:p>
    <w:p w14:paraId="453F80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2. Host nature: Laser workstation form, can be configured with a variety of laser functions, convenient for additional configuration.</w:t>
      </w:r>
    </w:p>
    <w:p w14:paraId="79EDCC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※4. Supports at least two modes: fixed and sliding, with one-click switching.</w:t>
      </w:r>
    </w:p>
    <w:p w14:paraId="6F8C382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Note 5: Phototherapy requires at least 2 million photophotons.</w:t>
      </w:r>
    </w:p>
    <w:p w14:paraId="5A1E6C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6. The treatment device shall have at least 5 units, all of which shall be fully enclosed (non-insertion type) to prevent contamination of filters by dust, moisture, or other external contaminants.</w:t>
      </w:r>
    </w:p>
    <w:p w14:paraId="31F13B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Note 7: The laser system must support at least five wavelength bands, including 420-950nm, 570-950nm, 500-600nm, 550-650nm, and Nd:YAG 1064/532nm.</w:t>
      </w:r>
    </w:p>
    <w:p w14:paraId="34EFD5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8. Energy adjustment step ≤1J/cm², adjustable.</w:t>
      </w:r>
    </w:p>
    <w:p w14:paraId="6E05C6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9. Maximum spot size ≥40×16mm.</w:t>
      </w:r>
    </w:p>
    <w:p w14:paraId="1455E9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10. Maximum laser frequency ≥3Hz.</w:t>
      </w:r>
    </w:p>
    <w:p w14:paraId="2AC876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Note 11: Maximum laser energy ≥1200mJ/P.</w:t>
      </w:r>
    </w:p>
    <w:p w14:paraId="2F639F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12. The cooling mode has 4 or more adjustable levels, with a minimum of-8℃.</w:t>
      </w:r>
    </w:p>
    <w:p w14:paraId="11E11A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13. Laser excitation mode: foot pedal switch control.</w:t>
      </w:r>
    </w:p>
    <w:p w14:paraId="6040BA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b w:val="0"/>
          <w:bCs/>
          <w:sz w:val="24"/>
          <w:szCs w:val="24"/>
          <w:lang w:val="en-US" w:eastAsia="zh-CN"/>
        </w:rPr>
      </w:pPr>
      <w:r>
        <w:rPr>
          <w:rFonts w:hint="eastAsia" w:ascii="Times New Roman" w:hAnsi="宋体" w:eastAsia="微软雅黑" w:cs="宋体"/>
          <w:b w:val="0"/>
          <w:bCs/>
          <w:snapToGrid w:val="0"/>
          <w:color w:val="000000"/>
          <w:kern w:val="0"/>
          <w:sz w:val="24"/>
          <w:szCs w:val="24"/>
          <w:lang w:val="en-US" w:eastAsia="zh-CN" w:bidi="ar-SA"/>
        </w:rPr>
        <w:t>14. Host operation interface: touch color display.</w:t>
      </w:r>
    </w:p>
    <w:p w14:paraId="4CAEA10E">
      <w:pPr>
        <w:spacing w:after="156" w:afterLines="50" w:line="240" w:lineRule="auto"/>
        <w:rPr>
          <w:rFonts w:hint="eastAsia" w:ascii="仿宋_GB2312" w:hAnsi="宋体" w:eastAsia="仿宋_GB2312"/>
          <w:b/>
          <w:sz w:val="24"/>
        </w:rPr>
      </w:pPr>
    </w:p>
    <w:p w14:paraId="69E2DD06">
      <w:pPr>
        <w:spacing w:after="156" w:afterLines="50" w:line="240" w:lineRule="auto"/>
      </w:pPr>
    </w:p>
    <w:p w14:paraId="23594AD5">
      <w:pPr>
        <w:spacing w:line="480" w:lineRule="exact"/>
        <w:jc w:val="left"/>
        <w:rPr>
          <w:rFonts w:hint="eastAsia" w:ascii="宋体" w:hAnsi="宋体" w:eastAsia="宋体" w:cs="宋体"/>
          <w:sz w:val="24"/>
          <w:szCs w:val="24"/>
          <w:lang w:eastAsia="zh-CN"/>
        </w:rPr>
      </w:pPr>
    </w:p>
    <w:sectPr>
      <w:footerReference r:id="rId12" w:type="default"/>
      <w:pgSz w:w="11910" w:h="16840"/>
      <w:pgMar w:top="1431" w:right="1786" w:bottom="1172" w:left="1287" w:header="0" w:footer="9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0F16">
    <w:pPr>
      <w:spacing w:line="213" w:lineRule="auto"/>
      <w:ind w:right="28"/>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FB79">
    <w:pPr>
      <w:spacing w:line="213" w:lineRule="auto"/>
      <w:ind w:left="8606"/>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19"/>
        <w:kern w:val="0"/>
        <w:sz w:val="18"/>
        <w:szCs w:val="18"/>
        <w:lang w:val="en-US" w:eastAsia="zh-CN" w:bidi="ar-SA"/>
      </w:rPr>
      <w:t>Contents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6C9">
    <w:pPr>
      <w:spacing w:line="212" w:lineRule="auto"/>
      <w:ind w:left="7930"/>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Invitation to Bid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3107">
    <w:pPr>
      <w:spacing w:line="212" w:lineRule="auto"/>
      <w:ind w:left="8117"/>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Bid Document Form 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F4ED">
    <w:pPr>
      <w:spacing w:line="212"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2"/>
        <w:kern w:val="0"/>
        <w:sz w:val="18"/>
        <w:szCs w:val="18"/>
        <w:lang w:val="en-US" w:eastAsia="zh-CN" w:bidi="ar-SA"/>
      </w:rPr>
      <w:t>Bid Document Form 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E921">
    <w:pPr>
      <w:pStyle w:val="5"/>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CF1E">
    <w:pPr>
      <w:spacing w:line="210" w:lineRule="auto"/>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4"/>
        <w:kern w:val="0"/>
        <w:sz w:val="18"/>
        <w:szCs w:val="18"/>
        <w:lang w:val="en-US" w:eastAsia="zh-CN" w:bidi="ar-SA"/>
      </w:rPr>
      <w:t>List of goods requirements 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7141">
    <w:pPr>
      <w:spacing w:line="211" w:lineRule="auto"/>
      <w:ind w:right="15"/>
      <w:jc w:val="right"/>
      <w:rPr>
        <w:rFonts w:hint="eastAsia" w:ascii="宋体" w:hAnsi="宋体" w:eastAsia="宋体" w:cs="宋体"/>
        <w:sz w:val="18"/>
        <w:szCs w:val="18"/>
        <w:lang w:eastAsia="zh-CN"/>
      </w:rPr>
    </w:pPr>
    <w:r>
      <w:rPr>
        <w:rFonts w:hint="eastAsia" w:ascii="Times New Roman" w:hAnsi="宋体" w:eastAsia="微软雅黑" w:cs="宋体"/>
        <w:snapToGrid w:val="0"/>
        <w:color w:val="000000"/>
        <w:spacing w:val="-8"/>
        <w:kern w:val="0"/>
        <w:sz w:val="18"/>
        <w:szCs w:val="18"/>
        <w:lang w:val="en-US" w:eastAsia="zh-CN" w:bidi="ar-SA"/>
      </w:rPr>
      <w:t>Technical Specifications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61DAB"/>
    <w:rsid w:val="00B41FC0"/>
    <w:rsid w:val="01A746B1"/>
    <w:rsid w:val="024141DC"/>
    <w:rsid w:val="038045F2"/>
    <w:rsid w:val="04F25C61"/>
    <w:rsid w:val="06257970"/>
    <w:rsid w:val="07FA2C8F"/>
    <w:rsid w:val="0B135418"/>
    <w:rsid w:val="0B62293C"/>
    <w:rsid w:val="0B7D00EF"/>
    <w:rsid w:val="0C497A08"/>
    <w:rsid w:val="0DAE2941"/>
    <w:rsid w:val="0E7A5777"/>
    <w:rsid w:val="0ECF31C5"/>
    <w:rsid w:val="0F44355D"/>
    <w:rsid w:val="0FDC6611"/>
    <w:rsid w:val="10790FE5"/>
    <w:rsid w:val="113D447D"/>
    <w:rsid w:val="118270A2"/>
    <w:rsid w:val="11D54941"/>
    <w:rsid w:val="13294EA9"/>
    <w:rsid w:val="138B678C"/>
    <w:rsid w:val="13ED41C3"/>
    <w:rsid w:val="142005FD"/>
    <w:rsid w:val="15406575"/>
    <w:rsid w:val="158E72E0"/>
    <w:rsid w:val="15A5287C"/>
    <w:rsid w:val="178D1A71"/>
    <w:rsid w:val="180513B0"/>
    <w:rsid w:val="18820C52"/>
    <w:rsid w:val="1B2C7ABC"/>
    <w:rsid w:val="1BEB6B5F"/>
    <w:rsid w:val="1BF6798D"/>
    <w:rsid w:val="1C70792B"/>
    <w:rsid w:val="1C73723E"/>
    <w:rsid w:val="1E421268"/>
    <w:rsid w:val="1E5F541C"/>
    <w:rsid w:val="1E860DE1"/>
    <w:rsid w:val="20EA5156"/>
    <w:rsid w:val="227212BF"/>
    <w:rsid w:val="235D4796"/>
    <w:rsid w:val="24FD1D8D"/>
    <w:rsid w:val="268836D7"/>
    <w:rsid w:val="27392E24"/>
    <w:rsid w:val="27673E35"/>
    <w:rsid w:val="288307FB"/>
    <w:rsid w:val="291516B0"/>
    <w:rsid w:val="293715E5"/>
    <w:rsid w:val="29D659C5"/>
    <w:rsid w:val="2A0C77C4"/>
    <w:rsid w:val="2A3C6EB3"/>
    <w:rsid w:val="2A80265B"/>
    <w:rsid w:val="2D522E91"/>
    <w:rsid w:val="2DB17BB8"/>
    <w:rsid w:val="2E951288"/>
    <w:rsid w:val="2EED4C20"/>
    <w:rsid w:val="2F212B1B"/>
    <w:rsid w:val="2F464330"/>
    <w:rsid w:val="308C0468"/>
    <w:rsid w:val="310821E5"/>
    <w:rsid w:val="312B1A2F"/>
    <w:rsid w:val="31943A79"/>
    <w:rsid w:val="32805DAB"/>
    <w:rsid w:val="33AD45E5"/>
    <w:rsid w:val="34881380"/>
    <w:rsid w:val="3583008C"/>
    <w:rsid w:val="371A7A05"/>
    <w:rsid w:val="37872C98"/>
    <w:rsid w:val="39FA6830"/>
    <w:rsid w:val="3A3F1290"/>
    <w:rsid w:val="3A5A51DD"/>
    <w:rsid w:val="3A712BA9"/>
    <w:rsid w:val="3A9E14C4"/>
    <w:rsid w:val="3B451F73"/>
    <w:rsid w:val="3B910593"/>
    <w:rsid w:val="3B9D177C"/>
    <w:rsid w:val="3C8157CA"/>
    <w:rsid w:val="3CAB1C76"/>
    <w:rsid w:val="41AC7D05"/>
    <w:rsid w:val="42424E2B"/>
    <w:rsid w:val="42B4482C"/>
    <w:rsid w:val="436A5C17"/>
    <w:rsid w:val="438374A9"/>
    <w:rsid w:val="43907F88"/>
    <w:rsid w:val="449B16DA"/>
    <w:rsid w:val="45605CF4"/>
    <w:rsid w:val="459C4852"/>
    <w:rsid w:val="474A0A15"/>
    <w:rsid w:val="48556BCC"/>
    <w:rsid w:val="497E000C"/>
    <w:rsid w:val="49C8030C"/>
    <w:rsid w:val="49DB5E2A"/>
    <w:rsid w:val="4B0B5621"/>
    <w:rsid w:val="4B985ABC"/>
    <w:rsid w:val="4C15710C"/>
    <w:rsid w:val="4DCA5A2D"/>
    <w:rsid w:val="4E086F29"/>
    <w:rsid w:val="4E327823"/>
    <w:rsid w:val="4EA809B1"/>
    <w:rsid w:val="4F1603CF"/>
    <w:rsid w:val="4F3124AF"/>
    <w:rsid w:val="50141FA4"/>
    <w:rsid w:val="510E36AA"/>
    <w:rsid w:val="52A116FA"/>
    <w:rsid w:val="5312360B"/>
    <w:rsid w:val="558A6D4D"/>
    <w:rsid w:val="58BD4BA2"/>
    <w:rsid w:val="5B307ABF"/>
    <w:rsid w:val="5BA04C44"/>
    <w:rsid w:val="5C6043D4"/>
    <w:rsid w:val="5C734DB5"/>
    <w:rsid w:val="5CFC40FC"/>
    <w:rsid w:val="5CFD6E65"/>
    <w:rsid w:val="5D335644"/>
    <w:rsid w:val="5D651B36"/>
    <w:rsid w:val="5DCA7D57"/>
    <w:rsid w:val="5F8328B3"/>
    <w:rsid w:val="5F864151"/>
    <w:rsid w:val="5FC41398"/>
    <w:rsid w:val="622814F0"/>
    <w:rsid w:val="62402CDD"/>
    <w:rsid w:val="628A7090"/>
    <w:rsid w:val="62C51434"/>
    <w:rsid w:val="644C3BBB"/>
    <w:rsid w:val="64DD4813"/>
    <w:rsid w:val="659770B8"/>
    <w:rsid w:val="65A92F30"/>
    <w:rsid w:val="65C71020"/>
    <w:rsid w:val="6646776C"/>
    <w:rsid w:val="66CA0CC2"/>
    <w:rsid w:val="67371638"/>
    <w:rsid w:val="678E0047"/>
    <w:rsid w:val="685E5C6B"/>
    <w:rsid w:val="69006D41"/>
    <w:rsid w:val="69BB533F"/>
    <w:rsid w:val="6B33416E"/>
    <w:rsid w:val="6B376C47"/>
    <w:rsid w:val="6BDA7CFF"/>
    <w:rsid w:val="6D6D4BA2"/>
    <w:rsid w:val="6E2A087E"/>
    <w:rsid w:val="71632544"/>
    <w:rsid w:val="71A32941"/>
    <w:rsid w:val="721C20D0"/>
    <w:rsid w:val="725C75CC"/>
    <w:rsid w:val="72930C07"/>
    <w:rsid w:val="74163E96"/>
    <w:rsid w:val="7487397A"/>
    <w:rsid w:val="748E78D8"/>
    <w:rsid w:val="752B5C1E"/>
    <w:rsid w:val="756A3B82"/>
    <w:rsid w:val="756E30BA"/>
    <w:rsid w:val="76A267D4"/>
    <w:rsid w:val="77D93560"/>
    <w:rsid w:val="793967A7"/>
    <w:rsid w:val="7ABD0F17"/>
    <w:rsid w:val="7C1F52BA"/>
    <w:rsid w:val="7DBF109C"/>
    <w:rsid w:val="7E470AF8"/>
    <w:rsid w:val="7EEB5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1"/>
    <w:pPr>
      <w:outlineLvl w:val="1"/>
    </w:pPr>
    <w:rPr>
      <w:rFonts w:ascii="Microsoft JhengHei" w:hAnsi="Microsoft JhengHei" w:eastAsia="Microsoft JhengHei"/>
      <w:sz w:val="36"/>
      <w:szCs w:val="36"/>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Strong"/>
    <w:basedOn w:val="12"/>
    <w:qFormat/>
    <w:uiPriority w:val="22"/>
    <w:rPr>
      <w:b/>
      <w:bCs/>
    </w:rPr>
  </w:style>
  <w:style w:type="character" w:styleId="14">
    <w:name w:val="page number"/>
    <w:qFormat/>
    <w:uiPriority w:val="99"/>
  </w:style>
  <w:style w:type="character" w:styleId="15">
    <w:name w:val="Hyperlink"/>
    <w:basedOn w:val="12"/>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paragraph" w:styleId="18">
    <w:name w:val="List Paragraph"/>
    <w:basedOn w:val="1"/>
    <w:qFormat/>
    <w:uiPriority w:val="34"/>
    <w:pPr>
      <w:widowControl/>
      <w:kinsoku w:val="0"/>
      <w:autoSpaceDE w:val="0"/>
      <w:autoSpaceDN w:val="0"/>
      <w:adjustRightInd w:val="0"/>
      <w:snapToGrid w:val="0"/>
      <w:ind w:firstLine="420"/>
      <w:jc w:val="left"/>
    </w:pPr>
    <w:rPr>
      <w:rFonts w:ascii="Arial" w:hAnsi="Arial" w:cs="Arial" w:eastAsiaTheme="minorEastAsia"/>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3356</Words>
  <Characters>18819</Characters>
  <TotalTime>10</TotalTime>
  <ScaleCrop>false</ScaleCrop>
  <LinksUpToDate>false</LinksUpToDate>
  <CharactersWithSpaces>21919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2025-07-22T14:48:00Z</dcterms:created>
  <dc:creator>xmc</dc:creator>
  <cp:keywords>标 机 投 技 术 </cp:keywords>
  <cp:lastModifiedBy>Administrator</cp:lastModifiedBy>
  <dcterms:modified xsi:type="dcterms:W3CDTF">2025-11-14T08:25:29Z</dcterms:modified>
  <dc:title>机电产品采购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2025-08-06T14:55:14Z</vt:filetime>
  </property>
  <property fmtid="{D5CDD505-2E9C-101B-9397-08002B2CF9AE}" pid="4" name="KSOTemplateDocerSaveRecord">
    <vt:lpwstr>eyJoZGlkIjoiMThjNTE2NzhhZjkwODg1NTVjZDVlYzEwYzAzOWQ4ZWUiLCJ1c2VySWQiOiIyNTY2NjMwNTYifQ==</vt:lpwstr>
  </property>
  <property fmtid="{D5CDD505-2E9C-101B-9397-08002B2CF9AE}" pid="5" name="KSOProductBuildVer">
    <vt:lpwstr>2052-12.1.0.23542</vt:lpwstr>
  </property>
  <property fmtid="{D5CDD505-2E9C-101B-9397-08002B2CF9AE}" pid="6" name="ICV">
    <vt:lpwstr>870DFFDBCF7E4FF0A255D158946B23E6_13</vt:lpwstr>
  </property>
</Properties>
</file>