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8B09B">
      <w:pPr>
        <w:pStyle w:val="16"/>
        <w:spacing w:before="0" w:after="0" w:line="360" w:lineRule="auto"/>
        <w:jc w:val="center"/>
        <w:rPr>
          <w:rFonts w:ascii="黑体" w:eastAsia="黑体"/>
          <w:b/>
          <w:color w:val="auto"/>
          <w:sz w:val="48"/>
          <w:highlight w:val="none"/>
        </w:rPr>
      </w:pPr>
    </w:p>
    <w:p w14:paraId="4E7C1F45">
      <w:pPr>
        <w:jc w:val="center"/>
        <w:rPr>
          <w:rFonts w:ascii="黑体" w:hAnsi="Arial Unicode MS" w:eastAsia="黑体"/>
          <w:b/>
          <w:color w:val="auto"/>
          <w:kern w:val="0"/>
          <w:sz w:val="48"/>
          <w:highlight w:val="none"/>
        </w:rPr>
      </w:pPr>
    </w:p>
    <w:p w14:paraId="3236CEF0">
      <w:pPr>
        <w:pStyle w:val="16"/>
        <w:spacing w:before="0" w:after="0" w:line="360" w:lineRule="auto"/>
        <w:jc w:val="center"/>
        <w:rPr>
          <w:rFonts w:hint="eastAsia" w:ascii="黑体" w:eastAsia="黑体"/>
          <w:b/>
          <w:color w:val="auto"/>
          <w:sz w:val="48"/>
          <w:highlight w:val="none"/>
          <w:lang w:eastAsia="zh-CN"/>
        </w:rPr>
      </w:pPr>
      <w:r>
        <w:rPr>
          <w:rFonts w:hint="eastAsia" w:ascii="黑体" w:eastAsia="黑体"/>
          <w:b/>
          <w:color w:val="auto"/>
          <w:sz w:val="48"/>
          <w:highlight w:val="none"/>
          <w:lang w:eastAsia="zh-CN"/>
        </w:rPr>
        <w:t>宁波威孚天力增压技术股份有限公司</w:t>
      </w:r>
    </w:p>
    <w:p w14:paraId="109331BC">
      <w:pPr>
        <w:jc w:val="center"/>
        <w:rPr>
          <w:rFonts w:hint="eastAsia" w:ascii="黑体" w:hAnsi="Arial Unicode MS" w:eastAsia="黑体"/>
          <w:b/>
          <w:color w:val="auto"/>
          <w:kern w:val="0"/>
          <w:sz w:val="48"/>
          <w:highlight w:val="none"/>
        </w:rPr>
      </w:pPr>
      <w:r>
        <w:rPr>
          <w:rFonts w:hint="eastAsia" w:ascii="黑体" w:hAnsi="Arial Unicode MS" w:eastAsia="黑体"/>
          <w:b/>
          <w:color w:val="auto"/>
          <w:kern w:val="0"/>
          <w:sz w:val="48"/>
          <w:highlight w:val="none"/>
          <w:lang w:eastAsia="zh-CN"/>
        </w:rPr>
        <w:t>机芯动平衡机</w:t>
      </w:r>
      <w:r>
        <w:rPr>
          <w:rFonts w:hint="eastAsia" w:ascii="黑体" w:hAnsi="Arial Unicode MS" w:eastAsia="黑体"/>
          <w:b/>
          <w:color w:val="auto"/>
          <w:kern w:val="0"/>
          <w:sz w:val="48"/>
          <w:highlight w:val="none"/>
        </w:rPr>
        <w:t>机电产品采购项目</w:t>
      </w:r>
    </w:p>
    <w:p w14:paraId="0D58D3A3">
      <w:pPr>
        <w:jc w:val="center"/>
        <w:rPr>
          <w:rFonts w:hint="eastAsia" w:eastAsia="黑体"/>
          <w:b/>
          <w:color w:val="auto"/>
          <w:sz w:val="84"/>
          <w:highlight w:val="none"/>
          <w:lang w:eastAsia="zh-CN"/>
        </w:rPr>
      </w:pPr>
      <w:r>
        <w:rPr>
          <w:rFonts w:hint="eastAsia" w:ascii="黑体" w:hAnsi="Arial Unicode MS" w:eastAsia="黑体"/>
          <w:b/>
          <w:color w:val="auto"/>
          <w:kern w:val="0"/>
          <w:sz w:val="48"/>
          <w:highlight w:val="none"/>
          <w:lang w:eastAsia="zh-CN"/>
        </w:rPr>
        <w:t>（</w:t>
      </w:r>
      <w:r>
        <w:rPr>
          <w:rFonts w:hint="eastAsia" w:ascii="黑体" w:hAnsi="Arial Unicode MS" w:eastAsia="黑体"/>
          <w:b/>
          <w:color w:val="auto"/>
          <w:kern w:val="0"/>
          <w:sz w:val="48"/>
          <w:highlight w:val="none"/>
          <w:lang w:val="en-US" w:eastAsia="zh-CN"/>
        </w:rPr>
        <w:t>重新招标</w:t>
      </w:r>
      <w:r>
        <w:rPr>
          <w:rFonts w:hint="eastAsia" w:ascii="黑体" w:hAnsi="Arial Unicode MS" w:eastAsia="黑体"/>
          <w:b/>
          <w:color w:val="auto"/>
          <w:kern w:val="0"/>
          <w:sz w:val="48"/>
          <w:highlight w:val="none"/>
          <w:lang w:eastAsia="zh-CN"/>
        </w:rPr>
        <w:t>）</w:t>
      </w:r>
    </w:p>
    <w:p w14:paraId="23BBD781">
      <w:pPr>
        <w:jc w:val="center"/>
        <w:rPr>
          <w:rFonts w:eastAsia="黑体"/>
          <w:b/>
          <w:color w:val="auto"/>
          <w:sz w:val="84"/>
          <w:highlight w:val="none"/>
        </w:rPr>
      </w:pPr>
    </w:p>
    <w:p w14:paraId="784727AF">
      <w:pPr>
        <w:jc w:val="center"/>
        <w:rPr>
          <w:rFonts w:eastAsia="黑体"/>
          <w:b/>
          <w:color w:val="auto"/>
          <w:sz w:val="84"/>
          <w:highlight w:val="none"/>
        </w:rPr>
      </w:pPr>
    </w:p>
    <w:p w14:paraId="5CCA4AC6">
      <w:pPr>
        <w:jc w:val="center"/>
        <w:rPr>
          <w:rFonts w:eastAsia="黑体"/>
          <w:b/>
          <w:color w:val="auto"/>
          <w:sz w:val="84"/>
          <w:highlight w:val="none"/>
        </w:rPr>
      </w:pPr>
      <w:r>
        <w:rPr>
          <w:rFonts w:hint="eastAsia" w:eastAsia="黑体"/>
          <w:b/>
          <w:color w:val="auto"/>
          <w:sz w:val="84"/>
          <w:highlight w:val="none"/>
        </w:rPr>
        <w:t>国际竞争性招标文件</w:t>
      </w:r>
    </w:p>
    <w:p w14:paraId="57A384D7">
      <w:pPr>
        <w:jc w:val="center"/>
        <w:rPr>
          <w:rFonts w:hint="eastAsia" w:eastAsia="黑体"/>
          <w:b/>
          <w:color w:val="auto"/>
          <w:sz w:val="32"/>
          <w:highlight w:val="none"/>
          <w:lang w:eastAsia="zh-CN"/>
        </w:rPr>
      </w:pPr>
      <w:r>
        <w:rPr>
          <w:rFonts w:hint="eastAsia" w:eastAsia="黑体"/>
          <w:b/>
          <w:color w:val="auto"/>
          <w:sz w:val="32"/>
          <w:highlight w:val="none"/>
        </w:rPr>
        <w:t>招标编号：</w:t>
      </w:r>
      <w:r>
        <w:rPr>
          <w:rFonts w:hint="eastAsia" w:eastAsia="黑体"/>
          <w:b/>
          <w:color w:val="auto"/>
          <w:sz w:val="32"/>
          <w:highlight w:val="none"/>
          <w:lang w:eastAsia="zh-CN"/>
        </w:rPr>
        <w:t>0675-254JOC105378</w:t>
      </w:r>
    </w:p>
    <w:p w14:paraId="372C1010">
      <w:pPr>
        <w:jc w:val="center"/>
        <w:rPr>
          <w:rFonts w:eastAsia="隶书"/>
          <w:b/>
          <w:color w:val="auto"/>
          <w:sz w:val="32"/>
          <w:highlight w:val="none"/>
        </w:rPr>
      </w:pPr>
    </w:p>
    <w:p w14:paraId="3070F521">
      <w:pPr>
        <w:jc w:val="center"/>
        <w:rPr>
          <w:rFonts w:ascii="黑体" w:hAnsi="黑体" w:eastAsia="黑体"/>
          <w:b/>
          <w:color w:val="auto"/>
          <w:sz w:val="32"/>
          <w:highlight w:val="none"/>
        </w:rPr>
      </w:pPr>
    </w:p>
    <w:p w14:paraId="7878B91E">
      <w:pPr>
        <w:jc w:val="center"/>
        <w:rPr>
          <w:rFonts w:ascii="黑体" w:hAnsi="黑体" w:eastAsia="黑体"/>
          <w:b/>
          <w:color w:val="auto"/>
          <w:sz w:val="32"/>
          <w:highlight w:val="none"/>
        </w:rPr>
      </w:pPr>
      <w:r>
        <w:rPr>
          <w:rFonts w:ascii="黑体" w:hAnsi="黑体" w:eastAsia="黑体"/>
          <w:b/>
          <w:color w:val="auto"/>
          <w:sz w:val="32"/>
          <w:highlight w:val="none"/>
        </w:rPr>
        <w:t>第二册</w:t>
      </w:r>
    </w:p>
    <w:p w14:paraId="4A62B4B3">
      <w:pPr>
        <w:jc w:val="center"/>
        <w:rPr>
          <w:rFonts w:eastAsia="隶书"/>
          <w:b/>
          <w:color w:val="auto"/>
          <w:sz w:val="32"/>
          <w:highlight w:val="none"/>
        </w:rPr>
      </w:pPr>
    </w:p>
    <w:p w14:paraId="47BB1A28">
      <w:pPr>
        <w:jc w:val="center"/>
        <w:rPr>
          <w:rFonts w:eastAsia="隶书"/>
          <w:b/>
          <w:color w:val="auto"/>
          <w:sz w:val="32"/>
          <w:highlight w:val="none"/>
        </w:rPr>
      </w:pPr>
    </w:p>
    <w:p w14:paraId="6FE75648">
      <w:pPr>
        <w:jc w:val="center"/>
        <w:rPr>
          <w:rFonts w:eastAsia="隶书"/>
          <w:b/>
          <w:color w:val="auto"/>
          <w:sz w:val="32"/>
          <w:highlight w:val="none"/>
        </w:rPr>
      </w:pPr>
    </w:p>
    <w:p w14:paraId="18E5FBA0">
      <w:pPr>
        <w:rPr>
          <w:color w:val="auto"/>
          <w:highlight w:val="none"/>
        </w:rPr>
      </w:pPr>
    </w:p>
    <w:p w14:paraId="49F2D927">
      <w:pPr>
        <w:jc w:val="center"/>
        <w:outlineLvl w:val="0"/>
        <w:rPr>
          <w:rFonts w:eastAsia="黑体"/>
          <w:b/>
          <w:color w:val="auto"/>
          <w:sz w:val="32"/>
          <w:highlight w:val="none"/>
        </w:rPr>
        <w:sectPr>
          <w:headerReference r:id="rId4" w:type="first"/>
          <w:headerReference r:id="rId3" w:type="default"/>
          <w:footerReference r:id="rId5" w:type="default"/>
          <w:pgSz w:w="11906" w:h="16838"/>
          <w:pgMar w:top="1440" w:right="1800" w:bottom="1440" w:left="1800" w:header="851" w:footer="992" w:gutter="0"/>
          <w:cols w:space="425" w:num="1"/>
          <w:titlePg/>
          <w:docGrid w:type="lines" w:linePitch="312" w:charSpace="0"/>
        </w:sectPr>
      </w:pPr>
    </w:p>
    <w:p w14:paraId="04819792">
      <w:pPr>
        <w:rPr>
          <w:color w:val="auto"/>
          <w:highlight w:val="none"/>
        </w:rPr>
        <w:sectPr>
          <w:type w:val="continuous"/>
          <w:pgSz w:w="11906" w:h="16838"/>
          <w:pgMar w:top="1440" w:right="1800" w:bottom="1440" w:left="1800" w:header="851" w:footer="992" w:gutter="0"/>
          <w:cols w:space="425" w:num="1"/>
          <w:docGrid w:type="lines" w:linePitch="312" w:charSpace="0"/>
        </w:sectPr>
      </w:pPr>
    </w:p>
    <w:p w14:paraId="7AA06CD0">
      <w:pPr>
        <w:jc w:val="center"/>
        <w:rPr>
          <w:rFonts w:ascii="黑体" w:hAnsi="黑体" w:eastAsia="黑体"/>
          <w:b/>
          <w:color w:val="auto"/>
          <w:sz w:val="32"/>
          <w:highlight w:val="none"/>
        </w:rPr>
      </w:pPr>
    </w:p>
    <w:p w14:paraId="777B7147">
      <w:pPr>
        <w:jc w:val="center"/>
        <w:rPr>
          <w:rFonts w:ascii="黑体" w:hAnsi="黑体" w:eastAsia="黑体"/>
          <w:b/>
          <w:color w:val="auto"/>
          <w:highlight w:val="none"/>
        </w:rPr>
      </w:pPr>
      <w:r>
        <w:rPr>
          <w:rFonts w:ascii="黑体" w:hAnsi="黑体" w:eastAsia="黑体"/>
          <w:b/>
          <w:color w:val="auto"/>
          <w:sz w:val="32"/>
          <w:highlight w:val="none"/>
        </w:rPr>
        <w:t>招标代理机构：江苏海外集团国际工程咨询有限公司</w:t>
      </w:r>
    </w:p>
    <w:p w14:paraId="55B5AB99">
      <w:pPr>
        <w:pStyle w:val="11"/>
        <w:jc w:val="center"/>
        <w:rPr>
          <w:color w:val="auto"/>
          <w:highlight w:val="none"/>
        </w:rPr>
      </w:pPr>
      <w:r>
        <w:rPr>
          <w:rFonts w:ascii="Times New Roman" w:eastAsia="黑体"/>
          <w:color w:val="auto"/>
          <w:highlight w:val="none"/>
        </w:rPr>
        <w:t>20</w:t>
      </w:r>
      <w:r>
        <w:rPr>
          <w:rFonts w:hint="eastAsia" w:ascii="Times New Roman" w:eastAsia="黑体"/>
          <w:color w:val="auto"/>
          <w:highlight w:val="none"/>
        </w:rPr>
        <w:t>2</w:t>
      </w:r>
      <w:r>
        <w:rPr>
          <w:rFonts w:hint="eastAsia" w:ascii="Times New Roman" w:eastAsia="黑体"/>
          <w:color w:val="auto"/>
          <w:highlight w:val="none"/>
          <w:lang w:val="en-US" w:eastAsia="zh-CN"/>
        </w:rPr>
        <w:t>5</w:t>
      </w:r>
      <w:r>
        <w:rPr>
          <w:rFonts w:hint="eastAsia" w:ascii="Times New Roman" w:eastAsia="黑体"/>
          <w:color w:val="auto"/>
          <w:highlight w:val="none"/>
        </w:rPr>
        <w:t>年</w:t>
      </w:r>
      <w:r>
        <w:rPr>
          <w:rFonts w:hint="eastAsia" w:ascii="Times New Roman" w:eastAsia="黑体"/>
          <w:color w:val="auto"/>
          <w:highlight w:val="none"/>
          <w:lang w:val="en-US" w:eastAsia="zh-CN"/>
        </w:rPr>
        <w:t>11</w:t>
      </w:r>
      <w:r>
        <w:rPr>
          <w:rFonts w:hint="eastAsia" w:ascii="Times New Roman" w:eastAsia="黑体"/>
          <w:color w:val="auto"/>
          <w:highlight w:val="none"/>
        </w:rPr>
        <w:t>月</w:t>
      </w:r>
      <w:r>
        <w:rPr>
          <w:color w:val="auto"/>
          <w:highlight w:val="none"/>
        </w:rPr>
        <w:br w:type="page"/>
      </w:r>
    </w:p>
    <w:p w14:paraId="358501B2">
      <w:pPr>
        <w:spacing w:before="156" w:beforeLines="50" w:after="156" w:afterLines="50"/>
        <w:jc w:val="center"/>
        <w:rPr>
          <w:rFonts w:eastAsia="黑体"/>
          <w:b/>
          <w:color w:val="auto"/>
          <w:sz w:val="36"/>
          <w:highlight w:val="none"/>
        </w:rPr>
      </w:pPr>
    </w:p>
    <w:p w14:paraId="4A9EDFD5">
      <w:pPr>
        <w:spacing w:before="156" w:beforeLines="50" w:after="156" w:afterLines="50"/>
        <w:jc w:val="center"/>
        <w:rPr>
          <w:rFonts w:eastAsia="黑体"/>
          <w:b/>
          <w:color w:val="auto"/>
          <w:sz w:val="36"/>
          <w:highlight w:val="none"/>
        </w:rPr>
      </w:pPr>
      <w:r>
        <w:rPr>
          <w:rFonts w:hint="eastAsia" w:eastAsia="黑体"/>
          <w:b/>
          <w:color w:val="auto"/>
          <w:sz w:val="36"/>
          <w:highlight w:val="none"/>
        </w:rPr>
        <w:t>目</w:t>
      </w:r>
      <w:r>
        <w:rPr>
          <w:rFonts w:eastAsia="黑体"/>
          <w:b/>
          <w:color w:val="auto"/>
          <w:sz w:val="36"/>
          <w:highlight w:val="none"/>
        </w:rPr>
        <w:t xml:space="preserve">   </w:t>
      </w:r>
      <w:r>
        <w:rPr>
          <w:rFonts w:hint="eastAsia" w:eastAsia="黑体"/>
          <w:b/>
          <w:color w:val="auto"/>
          <w:sz w:val="36"/>
          <w:highlight w:val="none"/>
        </w:rPr>
        <w:t>录</w:t>
      </w:r>
    </w:p>
    <w:p w14:paraId="4BFDC3DF">
      <w:pPr>
        <w:pStyle w:val="15"/>
        <w:tabs>
          <w:tab w:val="right" w:leader="dot" w:pos="8296"/>
        </w:tabs>
        <w:spacing w:line="360" w:lineRule="auto"/>
        <w:rPr>
          <w:rFonts w:ascii="黑体" w:hAnsi="黑体" w:eastAsia="黑体" w:cstheme="minorBidi"/>
          <w:color w:val="auto"/>
          <w:sz w:val="24"/>
          <w:szCs w:val="24"/>
          <w:highlight w:val="none"/>
          <w14:ligatures w14:val="standardContextual"/>
        </w:rPr>
      </w:pPr>
      <w:r>
        <w:rPr>
          <w:rFonts w:ascii="黑体" w:hAnsi="黑体" w:eastAsia="黑体"/>
          <w:color w:val="auto"/>
          <w:sz w:val="28"/>
          <w:szCs w:val="28"/>
          <w:highlight w:val="none"/>
        </w:rPr>
        <w:fldChar w:fldCharType="begin"/>
      </w:r>
      <w:r>
        <w:rPr>
          <w:rFonts w:ascii="黑体" w:hAnsi="黑体" w:eastAsia="黑体"/>
          <w:color w:val="auto"/>
          <w:sz w:val="28"/>
          <w:szCs w:val="28"/>
          <w:highlight w:val="none"/>
        </w:rPr>
        <w:instrText xml:space="preserve"> TOC \o "1-3" \h \z \u </w:instrText>
      </w:r>
      <w:r>
        <w:rPr>
          <w:rFonts w:ascii="黑体" w:hAnsi="黑体" w:eastAsia="黑体"/>
          <w:color w:val="auto"/>
          <w:sz w:val="28"/>
          <w:szCs w:val="28"/>
          <w:highlight w:val="none"/>
        </w:rPr>
        <w:fldChar w:fldCharType="separate"/>
      </w:r>
      <w:r>
        <w:rPr>
          <w:color w:val="auto"/>
          <w:highlight w:val="none"/>
        </w:rPr>
        <w:fldChar w:fldCharType="begin"/>
      </w:r>
      <w:r>
        <w:rPr>
          <w:color w:val="auto"/>
          <w:highlight w:val="none"/>
        </w:rPr>
        <w:instrText xml:space="preserve"> HYPERLINK \l "_Toc142988040" </w:instrText>
      </w:r>
      <w:r>
        <w:rPr>
          <w:color w:val="auto"/>
          <w:highlight w:val="none"/>
        </w:rPr>
        <w:fldChar w:fldCharType="separate"/>
      </w:r>
      <w:r>
        <w:rPr>
          <w:rStyle w:val="20"/>
          <w:rFonts w:ascii="黑体" w:hAnsi="黑体" w:eastAsia="黑体"/>
          <w:color w:val="auto"/>
          <w:sz w:val="24"/>
          <w:szCs w:val="24"/>
          <w:highlight w:val="none"/>
        </w:rPr>
        <w:t>第五章 投标邀请</w:t>
      </w:r>
      <w:r>
        <w:rPr>
          <w:rStyle w:val="20"/>
          <w:rFonts w:ascii="黑体" w:hAnsi="黑体" w:eastAsia="黑体"/>
          <w:color w:val="auto"/>
          <w:sz w:val="24"/>
          <w:szCs w:val="24"/>
          <w:highlight w:val="none"/>
        </w:rPr>
        <w:tab/>
      </w:r>
      <w:r>
        <w:rPr>
          <w:rStyle w:val="20"/>
          <w:rFonts w:ascii="黑体" w:hAnsi="黑体" w:eastAsia="黑体"/>
          <w:color w:val="auto"/>
          <w:sz w:val="24"/>
          <w:szCs w:val="24"/>
          <w:highlight w:val="none"/>
        </w:rPr>
        <w:fldChar w:fldCharType="begin"/>
      </w:r>
      <w:r>
        <w:rPr>
          <w:rStyle w:val="20"/>
          <w:rFonts w:ascii="黑体" w:hAnsi="黑体" w:eastAsia="黑体"/>
          <w:color w:val="auto"/>
          <w:sz w:val="24"/>
          <w:szCs w:val="24"/>
          <w:highlight w:val="none"/>
        </w:rPr>
        <w:instrText xml:space="preserve"> PAGEREF _Toc142988040 \h </w:instrText>
      </w:r>
      <w:r>
        <w:rPr>
          <w:rStyle w:val="20"/>
          <w:rFonts w:ascii="黑体" w:hAnsi="黑体" w:eastAsia="黑体"/>
          <w:color w:val="auto"/>
          <w:sz w:val="24"/>
          <w:szCs w:val="24"/>
          <w:highlight w:val="none"/>
        </w:rPr>
        <w:fldChar w:fldCharType="separate"/>
      </w:r>
      <w:r>
        <w:rPr>
          <w:rStyle w:val="20"/>
          <w:rFonts w:ascii="黑体" w:hAnsi="黑体" w:eastAsia="黑体"/>
          <w:color w:val="auto"/>
          <w:sz w:val="24"/>
          <w:szCs w:val="24"/>
          <w:highlight w:val="none"/>
        </w:rPr>
        <w:t>3</w:t>
      </w:r>
      <w:r>
        <w:rPr>
          <w:rStyle w:val="20"/>
          <w:rFonts w:ascii="黑体" w:hAnsi="黑体" w:eastAsia="黑体"/>
          <w:color w:val="auto"/>
          <w:sz w:val="24"/>
          <w:szCs w:val="24"/>
          <w:highlight w:val="none"/>
        </w:rPr>
        <w:fldChar w:fldCharType="end"/>
      </w:r>
      <w:r>
        <w:rPr>
          <w:rStyle w:val="20"/>
          <w:rFonts w:ascii="黑体" w:hAnsi="黑体" w:eastAsia="黑体"/>
          <w:color w:val="auto"/>
          <w:sz w:val="24"/>
          <w:szCs w:val="24"/>
          <w:highlight w:val="none"/>
        </w:rPr>
        <w:fldChar w:fldCharType="end"/>
      </w:r>
    </w:p>
    <w:p w14:paraId="61502584">
      <w:pPr>
        <w:pStyle w:val="15"/>
        <w:tabs>
          <w:tab w:val="right" w:leader="dot" w:pos="8296"/>
        </w:tabs>
        <w:spacing w:line="360" w:lineRule="auto"/>
        <w:rPr>
          <w:rFonts w:ascii="黑体" w:hAnsi="黑体" w:eastAsia="黑体" w:cstheme="minorBidi"/>
          <w:color w:val="auto"/>
          <w:sz w:val="24"/>
          <w:szCs w:val="24"/>
          <w:highlight w:val="none"/>
          <w14:ligatures w14:val="standardContextual"/>
        </w:rPr>
      </w:pPr>
      <w:r>
        <w:rPr>
          <w:color w:val="auto"/>
          <w:highlight w:val="none"/>
        </w:rPr>
        <w:fldChar w:fldCharType="begin"/>
      </w:r>
      <w:r>
        <w:rPr>
          <w:color w:val="auto"/>
          <w:highlight w:val="none"/>
        </w:rPr>
        <w:instrText xml:space="preserve"> HYPERLINK \l "_Toc142988041" </w:instrText>
      </w:r>
      <w:r>
        <w:rPr>
          <w:color w:val="auto"/>
          <w:highlight w:val="none"/>
        </w:rPr>
        <w:fldChar w:fldCharType="separate"/>
      </w:r>
      <w:r>
        <w:rPr>
          <w:rStyle w:val="20"/>
          <w:rFonts w:ascii="黑体" w:hAnsi="黑体" w:eastAsia="黑体"/>
          <w:color w:val="auto"/>
          <w:sz w:val="24"/>
          <w:szCs w:val="24"/>
          <w:highlight w:val="none"/>
        </w:rPr>
        <w:t>第六章 投标资料表</w:t>
      </w:r>
      <w:r>
        <w:rPr>
          <w:rFonts w:ascii="黑体" w:hAnsi="黑体" w:eastAsia="黑体"/>
          <w:color w:val="auto"/>
          <w:sz w:val="24"/>
          <w:szCs w:val="24"/>
          <w:highlight w:val="none"/>
        </w:rPr>
        <w:tab/>
      </w:r>
      <w:r>
        <w:rPr>
          <w:rFonts w:ascii="黑体" w:hAnsi="黑体" w:eastAsia="黑体"/>
          <w:color w:val="auto"/>
          <w:sz w:val="24"/>
          <w:szCs w:val="24"/>
          <w:highlight w:val="none"/>
        </w:rPr>
        <w:fldChar w:fldCharType="begin"/>
      </w:r>
      <w:r>
        <w:rPr>
          <w:rFonts w:ascii="黑体" w:hAnsi="黑体" w:eastAsia="黑体"/>
          <w:color w:val="auto"/>
          <w:sz w:val="24"/>
          <w:szCs w:val="24"/>
          <w:highlight w:val="none"/>
        </w:rPr>
        <w:instrText xml:space="preserve"> PAGEREF _Toc142988041 \h </w:instrText>
      </w:r>
      <w:r>
        <w:rPr>
          <w:rFonts w:ascii="黑体" w:hAnsi="黑体" w:eastAsia="黑体"/>
          <w:color w:val="auto"/>
          <w:sz w:val="24"/>
          <w:szCs w:val="24"/>
          <w:highlight w:val="none"/>
        </w:rPr>
        <w:fldChar w:fldCharType="separate"/>
      </w:r>
      <w:r>
        <w:rPr>
          <w:rFonts w:ascii="黑体" w:hAnsi="黑体" w:eastAsia="黑体"/>
          <w:color w:val="auto"/>
          <w:sz w:val="24"/>
          <w:szCs w:val="24"/>
          <w:highlight w:val="none"/>
        </w:rPr>
        <w:t>7</w:t>
      </w:r>
      <w:r>
        <w:rPr>
          <w:rFonts w:ascii="黑体" w:hAnsi="黑体" w:eastAsia="黑体"/>
          <w:color w:val="auto"/>
          <w:sz w:val="24"/>
          <w:szCs w:val="24"/>
          <w:highlight w:val="none"/>
        </w:rPr>
        <w:fldChar w:fldCharType="end"/>
      </w:r>
      <w:r>
        <w:rPr>
          <w:rFonts w:ascii="黑体" w:hAnsi="黑体" w:eastAsia="黑体"/>
          <w:color w:val="auto"/>
          <w:sz w:val="24"/>
          <w:szCs w:val="24"/>
          <w:highlight w:val="none"/>
        </w:rPr>
        <w:fldChar w:fldCharType="end"/>
      </w:r>
    </w:p>
    <w:p w14:paraId="5ABC1B2F">
      <w:pPr>
        <w:pStyle w:val="15"/>
        <w:tabs>
          <w:tab w:val="right" w:leader="dot" w:pos="8296"/>
        </w:tabs>
        <w:spacing w:line="360" w:lineRule="auto"/>
        <w:rPr>
          <w:rFonts w:ascii="黑体" w:hAnsi="黑体" w:eastAsia="黑体" w:cstheme="minorBidi"/>
          <w:color w:val="auto"/>
          <w:sz w:val="24"/>
          <w:szCs w:val="24"/>
          <w:highlight w:val="none"/>
          <w14:ligatures w14:val="standardContextual"/>
        </w:rPr>
      </w:pPr>
      <w:r>
        <w:rPr>
          <w:color w:val="auto"/>
          <w:highlight w:val="none"/>
        </w:rPr>
        <w:fldChar w:fldCharType="begin"/>
      </w:r>
      <w:r>
        <w:rPr>
          <w:color w:val="auto"/>
          <w:highlight w:val="none"/>
        </w:rPr>
        <w:instrText xml:space="preserve"> HYPERLINK \l "_Toc142988042" </w:instrText>
      </w:r>
      <w:r>
        <w:rPr>
          <w:color w:val="auto"/>
          <w:highlight w:val="none"/>
        </w:rPr>
        <w:fldChar w:fldCharType="separate"/>
      </w:r>
      <w:r>
        <w:rPr>
          <w:rStyle w:val="20"/>
          <w:rFonts w:ascii="黑体" w:hAnsi="黑体" w:eastAsia="黑体"/>
          <w:color w:val="auto"/>
          <w:sz w:val="24"/>
          <w:szCs w:val="24"/>
          <w:highlight w:val="none"/>
        </w:rPr>
        <w:t>第七章 合同专用条款</w:t>
      </w:r>
      <w:r>
        <w:rPr>
          <w:rFonts w:ascii="黑体" w:hAnsi="黑体" w:eastAsia="黑体"/>
          <w:color w:val="auto"/>
          <w:sz w:val="24"/>
          <w:szCs w:val="24"/>
          <w:highlight w:val="none"/>
        </w:rPr>
        <w:tab/>
      </w:r>
      <w:r>
        <w:rPr>
          <w:rFonts w:ascii="黑体" w:hAnsi="黑体" w:eastAsia="黑体"/>
          <w:color w:val="auto"/>
          <w:sz w:val="24"/>
          <w:szCs w:val="24"/>
          <w:highlight w:val="none"/>
        </w:rPr>
        <w:fldChar w:fldCharType="begin"/>
      </w:r>
      <w:r>
        <w:rPr>
          <w:rFonts w:ascii="黑体" w:hAnsi="黑体" w:eastAsia="黑体"/>
          <w:color w:val="auto"/>
          <w:sz w:val="24"/>
          <w:szCs w:val="24"/>
          <w:highlight w:val="none"/>
        </w:rPr>
        <w:instrText xml:space="preserve"> PAGEREF _Toc142988042 \h </w:instrText>
      </w:r>
      <w:r>
        <w:rPr>
          <w:rFonts w:ascii="黑体" w:hAnsi="黑体" w:eastAsia="黑体"/>
          <w:color w:val="auto"/>
          <w:sz w:val="24"/>
          <w:szCs w:val="24"/>
          <w:highlight w:val="none"/>
        </w:rPr>
        <w:fldChar w:fldCharType="separate"/>
      </w:r>
      <w:r>
        <w:rPr>
          <w:rFonts w:ascii="黑体" w:hAnsi="黑体" w:eastAsia="黑体"/>
          <w:color w:val="auto"/>
          <w:sz w:val="24"/>
          <w:szCs w:val="24"/>
          <w:highlight w:val="none"/>
        </w:rPr>
        <w:t>13</w:t>
      </w:r>
      <w:r>
        <w:rPr>
          <w:rFonts w:ascii="黑体" w:hAnsi="黑体" w:eastAsia="黑体"/>
          <w:color w:val="auto"/>
          <w:sz w:val="24"/>
          <w:szCs w:val="24"/>
          <w:highlight w:val="none"/>
        </w:rPr>
        <w:fldChar w:fldCharType="end"/>
      </w:r>
      <w:r>
        <w:rPr>
          <w:rFonts w:ascii="黑体" w:hAnsi="黑体" w:eastAsia="黑体"/>
          <w:color w:val="auto"/>
          <w:sz w:val="24"/>
          <w:szCs w:val="24"/>
          <w:highlight w:val="none"/>
        </w:rPr>
        <w:fldChar w:fldCharType="end"/>
      </w:r>
    </w:p>
    <w:p w14:paraId="7D6BB8EE">
      <w:pPr>
        <w:pStyle w:val="15"/>
        <w:tabs>
          <w:tab w:val="right" w:leader="dot" w:pos="8296"/>
        </w:tabs>
        <w:spacing w:line="360" w:lineRule="auto"/>
        <w:rPr>
          <w:rFonts w:ascii="黑体" w:hAnsi="黑体" w:eastAsia="黑体" w:cstheme="minorBidi"/>
          <w:color w:val="auto"/>
          <w:sz w:val="24"/>
          <w:szCs w:val="24"/>
          <w:highlight w:val="none"/>
          <w14:ligatures w14:val="standardContextual"/>
        </w:rPr>
      </w:pPr>
      <w:r>
        <w:rPr>
          <w:color w:val="auto"/>
          <w:highlight w:val="none"/>
        </w:rPr>
        <w:fldChar w:fldCharType="begin"/>
      </w:r>
      <w:r>
        <w:rPr>
          <w:color w:val="auto"/>
          <w:highlight w:val="none"/>
        </w:rPr>
        <w:instrText xml:space="preserve"> HYPERLINK \l "_Toc142988043" </w:instrText>
      </w:r>
      <w:r>
        <w:rPr>
          <w:color w:val="auto"/>
          <w:highlight w:val="none"/>
        </w:rPr>
        <w:fldChar w:fldCharType="separate"/>
      </w:r>
      <w:r>
        <w:rPr>
          <w:rStyle w:val="20"/>
          <w:rFonts w:ascii="黑体" w:hAnsi="黑体" w:eastAsia="黑体"/>
          <w:color w:val="auto"/>
          <w:sz w:val="24"/>
          <w:szCs w:val="24"/>
          <w:highlight w:val="none"/>
        </w:rPr>
        <w:t>第八章 货物需求一览表及技术规格</w:t>
      </w:r>
      <w:r>
        <w:rPr>
          <w:rFonts w:ascii="黑体" w:hAnsi="黑体" w:eastAsia="黑体"/>
          <w:color w:val="auto"/>
          <w:sz w:val="24"/>
          <w:szCs w:val="24"/>
          <w:highlight w:val="none"/>
        </w:rPr>
        <w:tab/>
      </w:r>
      <w:r>
        <w:rPr>
          <w:rFonts w:ascii="黑体" w:hAnsi="黑体" w:eastAsia="黑体"/>
          <w:color w:val="auto"/>
          <w:sz w:val="24"/>
          <w:szCs w:val="24"/>
          <w:highlight w:val="none"/>
        </w:rPr>
        <w:fldChar w:fldCharType="begin"/>
      </w:r>
      <w:r>
        <w:rPr>
          <w:rFonts w:ascii="黑体" w:hAnsi="黑体" w:eastAsia="黑体"/>
          <w:color w:val="auto"/>
          <w:sz w:val="24"/>
          <w:szCs w:val="24"/>
          <w:highlight w:val="none"/>
        </w:rPr>
        <w:instrText xml:space="preserve"> PAGEREF _Toc142988043 \h </w:instrText>
      </w:r>
      <w:r>
        <w:rPr>
          <w:rFonts w:ascii="黑体" w:hAnsi="黑体" w:eastAsia="黑体"/>
          <w:color w:val="auto"/>
          <w:sz w:val="24"/>
          <w:szCs w:val="24"/>
          <w:highlight w:val="none"/>
        </w:rPr>
        <w:fldChar w:fldCharType="separate"/>
      </w:r>
      <w:r>
        <w:rPr>
          <w:rFonts w:ascii="黑体" w:hAnsi="黑体" w:eastAsia="黑体"/>
          <w:color w:val="auto"/>
          <w:sz w:val="24"/>
          <w:szCs w:val="24"/>
          <w:highlight w:val="none"/>
        </w:rPr>
        <w:t>17</w:t>
      </w:r>
      <w:r>
        <w:rPr>
          <w:rFonts w:ascii="黑体" w:hAnsi="黑体" w:eastAsia="黑体"/>
          <w:color w:val="auto"/>
          <w:sz w:val="24"/>
          <w:szCs w:val="24"/>
          <w:highlight w:val="none"/>
        </w:rPr>
        <w:fldChar w:fldCharType="end"/>
      </w:r>
      <w:r>
        <w:rPr>
          <w:rFonts w:ascii="黑体" w:hAnsi="黑体" w:eastAsia="黑体"/>
          <w:color w:val="auto"/>
          <w:sz w:val="24"/>
          <w:szCs w:val="24"/>
          <w:highlight w:val="none"/>
        </w:rPr>
        <w:fldChar w:fldCharType="end"/>
      </w:r>
    </w:p>
    <w:p w14:paraId="28A28104">
      <w:pPr>
        <w:pStyle w:val="15"/>
        <w:tabs>
          <w:tab w:val="right" w:leader="dot" w:pos="8296"/>
        </w:tabs>
        <w:spacing w:line="360" w:lineRule="auto"/>
        <w:rPr>
          <w:rFonts w:ascii="黑体" w:hAnsi="黑体" w:eastAsia="黑体" w:cstheme="minorBidi"/>
          <w:color w:val="auto"/>
          <w:sz w:val="24"/>
          <w:szCs w:val="24"/>
          <w:highlight w:val="none"/>
          <w14:ligatures w14:val="standardContextual"/>
        </w:rPr>
      </w:pPr>
      <w:r>
        <w:rPr>
          <w:color w:val="auto"/>
          <w:highlight w:val="none"/>
        </w:rPr>
        <w:fldChar w:fldCharType="begin"/>
      </w:r>
      <w:r>
        <w:rPr>
          <w:color w:val="auto"/>
          <w:highlight w:val="none"/>
        </w:rPr>
        <w:instrText xml:space="preserve"> HYPERLINK \l "_Toc142988044" </w:instrText>
      </w:r>
      <w:r>
        <w:rPr>
          <w:color w:val="auto"/>
          <w:highlight w:val="none"/>
        </w:rPr>
        <w:fldChar w:fldCharType="separate"/>
      </w:r>
      <w:r>
        <w:rPr>
          <w:rStyle w:val="20"/>
          <w:rFonts w:ascii="黑体" w:hAnsi="黑体" w:eastAsia="黑体"/>
          <w:color w:val="auto"/>
          <w:sz w:val="24"/>
          <w:szCs w:val="24"/>
          <w:highlight w:val="none"/>
        </w:rPr>
        <w:t>第九章 支付招标服务费承诺书</w:t>
      </w:r>
      <w:r>
        <w:rPr>
          <w:rFonts w:ascii="黑体" w:hAnsi="黑体" w:eastAsia="黑体"/>
          <w:color w:val="auto"/>
          <w:sz w:val="24"/>
          <w:szCs w:val="24"/>
          <w:highlight w:val="none"/>
        </w:rPr>
        <w:tab/>
      </w:r>
      <w:r>
        <w:rPr>
          <w:rFonts w:ascii="黑体" w:hAnsi="黑体" w:eastAsia="黑体"/>
          <w:color w:val="auto"/>
          <w:sz w:val="24"/>
          <w:szCs w:val="24"/>
          <w:highlight w:val="none"/>
        </w:rPr>
        <w:fldChar w:fldCharType="begin"/>
      </w:r>
      <w:r>
        <w:rPr>
          <w:rFonts w:ascii="黑体" w:hAnsi="黑体" w:eastAsia="黑体"/>
          <w:color w:val="auto"/>
          <w:sz w:val="24"/>
          <w:szCs w:val="24"/>
          <w:highlight w:val="none"/>
        </w:rPr>
        <w:instrText xml:space="preserve"> PAGEREF _Toc142988044 \h </w:instrText>
      </w:r>
      <w:r>
        <w:rPr>
          <w:rFonts w:ascii="黑体" w:hAnsi="黑体" w:eastAsia="黑体"/>
          <w:color w:val="auto"/>
          <w:sz w:val="24"/>
          <w:szCs w:val="24"/>
          <w:highlight w:val="none"/>
        </w:rPr>
        <w:fldChar w:fldCharType="separate"/>
      </w:r>
      <w:r>
        <w:rPr>
          <w:rFonts w:ascii="黑体" w:hAnsi="黑体" w:eastAsia="黑体"/>
          <w:color w:val="auto"/>
          <w:sz w:val="24"/>
          <w:szCs w:val="24"/>
          <w:highlight w:val="none"/>
        </w:rPr>
        <w:t>23</w:t>
      </w:r>
      <w:r>
        <w:rPr>
          <w:rFonts w:ascii="黑体" w:hAnsi="黑体" w:eastAsia="黑体"/>
          <w:color w:val="auto"/>
          <w:sz w:val="24"/>
          <w:szCs w:val="24"/>
          <w:highlight w:val="none"/>
        </w:rPr>
        <w:fldChar w:fldCharType="end"/>
      </w:r>
      <w:r>
        <w:rPr>
          <w:rFonts w:ascii="黑体" w:hAnsi="黑体" w:eastAsia="黑体"/>
          <w:color w:val="auto"/>
          <w:sz w:val="24"/>
          <w:szCs w:val="24"/>
          <w:highlight w:val="none"/>
        </w:rPr>
        <w:fldChar w:fldCharType="end"/>
      </w:r>
    </w:p>
    <w:p w14:paraId="7D3C4859">
      <w:pPr>
        <w:spacing w:line="360" w:lineRule="auto"/>
        <w:rPr>
          <w:rFonts w:eastAsia="黑体"/>
          <w:color w:val="auto"/>
          <w:sz w:val="44"/>
          <w:highlight w:val="none"/>
        </w:rPr>
      </w:pPr>
      <w:r>
        <w:rPr>
          <w:rFonts w:ascii="黑体" w:hAnsi="黑体" w:eastAsia="黑体"/>
          <w:color w:val="auto"/>
          <w:sz w:val="28"/>
          <w:szCs w:val="28"/>
          <w:highlight w:val="none"/>
        </w:rPr>
        <w:fldChar w:fldCharType="end"/>
      </w:r>
      <w:r>
        <w:rPr>
          <w:color w:val="auto"/>
          <w:sz w:val="28"/>
          <w:highlight w:val="none"/>
        </w:rPr>
        <w:br w:type="page"/>
      </w:r>
    </w:p>
    <w:p w14:paraId="0CB06CA1">
      <w:pPr>
        <w:spacing w:line="360" w:lineRule="auto"/>
        <w:jc w:val="center"/>
        <w:rPr>
          <w:rFonts w:ascii="黑体" w:hAnsi="黑体" w:eastAsia="黑体"/>
          <w:b/>
          <w:color w:val="auto"/>
          <w:sz w:val="52"/>
          <w:highlight w:val="none"/>
        </w:rPr>
      </w:pPr>
    </w:p>
    <w:p w14:paraId="67441E59">
      <w:pPr>
        <w:spacing w:line="360" w:lineRule="auto"/>
        <w:jc w:val="center"/>
        <w:rPr>
          <w:rFonts w:ascii="黑体" w:hAnsi="黑体" w:eastAsia="黑体"/>
          <w:b/>
          <w:color w:val="auto"/>
          <w:sz w:val="52"/>
          <w:highlight w:val="none"/>
        </w:rPr>
      </w:pPr>
    </w:p>
    <w:p w14:paraId="3B4D2F93">
      <w:pPr>
        <w:spacing w:line="360" w:lineRule="auto"/>
        <w:jc w:val="center"/>
        <w:rPr>
          <w:rFonts w:ascii="黑体" w:hAnsi="黑体" w:eastAsia="黑体"/>
          <w:b/>
          <w:color w:val="auto"/>
          <w:sz w:val="52"/>
          <w:highlight w:val="none"/>
        </w:rPr>
      </w:pPr>
    </w:p>
    <w:p w14:paraId="1B26DBD1">
      <w:pPr>
        <w:spacing w:line="360" w:lineRule="auto"/>
        <w:jc w:val="center"/>
        <w:rPr>
          <w:rFonts w:ascii="黑体" w:hAnsi="黑体" w:eastAsia="黑体"/>
          <w:b/>
          <w:color w:val="auto"/>
          <w:sz w:val="52"/>
          <w:highlight w:val="none"/>
        </w:rPr>
      </w:pPr>
    </w:p>
    <w:p w14:paraId="3CCBAA5B">
      <w:pPr>
        <w:pStyle w:val="2"/>
        <w:jc w:val="center"/>
        <w:rPr>
          <w:rFonts w:ascii="黑体" w:hAnsi="黑体" w:eastAsia="黑体"/>
          <w:color w:val="auto"/>
          <w:sz w:val="52"/>
          <w:highlight w:val="none"/>
        </w:rPr>
      </w:pPr>
      <w:r>
        <w:rPr>
          <w:rFonts w:ascii="黑体" w:hAnsi="黑体" w:eastAsia="黑体"/>
          <w:color w:val="auto"/>
          <w:sz w:val="52"/>
          <w:highlight w:val="none"/>
        </w:rPr>
        <w:t xml:space="preserve"> </w:t>
      </w:r>
      <w:bookmarkStart w:id="0" w:name="_Toc142988040"/>
      <w:r>
        <w:rPr>
          <w:rFonts w:hint="eastAsia" w:ascii="黑体" w:hAnsi="黑体" w:eastAsia="黑体"/>
          <w:color w:val="auto"/>
          <w:sz w:val="52"/>
          <w:highlight w:val="none"/>
        </w:rPr>
        <w:t>投标邀请</w:t>
      </w:r>
      <w:bookmarkEnd w:id="0"/>
    </w:p>
    <w:p w14:paraId="6C533F32">
      <w:pPr>
        <w:widowControl/>
        <w:jc w:val="left"/>
        <w:rPr>
          <w:rFonts w:ascii="黑体" w:hAnsi="黑体" w:eastAsia="黑体"/>
          <w:b/>
          <w:color w:val="auto"/>
          <w:sz w:val="52"/>
          <w:highlight w:val="none"/>
        </w:rPr>
      </w:pPr>
      <w:r>
        <w:rPr>
          <w:rFonts w:ascii="黑体" w:hAnsi="黑体" w:eastAsia="黑体"/>
          <w:b/>
          <w:color w:val="auto"/>
          <w:sz w:val="52"/>
          <w:highlight w:val="none"/>
        </w:rPr>
        <w:br w:type="page"/>
      </w:r>
    </w:p>
    <w:p w14:paraId="50AC4EB5">
      <w:pPr>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rPr>
        <w:t>投标邀请</w:t>
      </w:r>
    </w:p>
    <w:tbl>
      <w:tblPr>
        <w:tblStyle w:val="17"/>
        <w:tblW w:w="9167" w:type="dxa"/>
        <w:tblCellSpacing w:w="15" w:type="dxa"/>
        <w:tblInd w:w="0" w:type="dxa"/>
        <w:tblLayout w:type="autofit"/>
        <w:tblCellMar>
          <w:top w:w="15" w:type="dxa"/>
          <w:left w:w="15" w:type="dxa"/>
          <w:bottom w:w="15" w:type="dxa"/>
          <w:right w:w="15" w:type="dxa"/>
        </w:tblCellMar>
      </w:tblPr>
      <w:tblGrid>
        <w:gridCol w:w="9167"/>
      </w:tblGrid>
      <w:tr w14:paraId="29BA26A5">
        <w:trPr>
          <w:tblCellSpacing w:w="15" w:type="dxa"/>
        </w:trPr>
        <w:tc>
          <w:tcPr>
            <w:tcW w:w="9107" w:type="dxa"/>
            <w:vAlign w:val="center"/>
          </w:tcPr>
          <w:p w14:paraId="7D54652B">
            <w:pPr>
              <w:widowControl/>
              <w:spacing w:line="420" w:lineRule="exact"/>
              <w:ind w:firstLine="480" w:firstLineChars="200"/>
              <w:jc w:val="left"/>
              <w:rPr>
                <w:color w:val="auto"/>
                <w:kern w:val="0"/>
                <w:sz w:val="24"/>
                <w:szCs w:val="24"/>
                <w:highlight w:val="none"/>
              </w:rPr>
            </w:pPr>
            <w:r>
              <w:rPr>
                <w:rFonts w:hint="eastAsia"/>
                <w:color w:val="auto"/>
                <w:kern w:val="0"/>
                <w:sz w:val="24"/>
                <w:szCs w:val="24"/>
                <w:highlight w:val="none"/>
              </w:rPr>
              <w:t>江苏海外集团国际工程咨询有限公司受招标人委托对下列产品及服务进行国际公开竞争性招标，于</w:t>
            </w:r>
            <w:r>
              <w:rPr>
                <w:color w:val="auto"/>
                <w:kern w:val="0"/>
                <w:sz w:val="24"/>
                <w:szCs w:val="24"/>
                <w:highlight w:val="none"/>
              </w:rPr>
              <w:t>202</w:t>
            </w:r>
            <w:r>
              <w:rPr>
                <w:rFonts w:hint="eastAsia"/>
                <w:color w:val="auto"/>
                <w:kern w:val="0"/>
                <w:sz w:val="24"/>
                <w:szCs w:val="24"/>
                <w:highlight w:val="none"/>
                <w:lang w:val="en-US" w:eastAsia="zh-CN"/>
              </w:rPr>
              <w:t>5</w:t>
            </w:r>
            <w:r>
              <w:rPr>
                <w:rFonts w:hint="eastAsia"/>
                <w:color w:val="auto"/>
                <w:kern w:val="0"/>
                <w:sz w:val="24"/>
                <w:szCs w:val="24"/>
                <w:highlight w:val="none"/>
              </w:rPr>
              <w:t>年</w:t>
            </w:r>
            <w:r>
              <w:rPr>
                <w:rFonts w:hint="eastAsia"/>
                <w:color w:val="auto"/>
                <w:kern w:val="0"/>
                <w:sz w:val="24"/>
                <w:szCs w:val="24"/>
                <w:highlight w:val="none"/>
                <w:lang w:val="en-US" w:eastAsia="zh-CN"/>
              </w:rPr>
              <w:t>11月10日</w:t>
            </w:r>
            <w:r>
              <w:rPr>
                <w:rFonts w:hint="eastAsia"/>
                <w:color w:val="auto"/>
                <w:kern w:val="0"/>
                <w:sz w:val="24"/>
                <w:szCs w:val="24"/>
                <w:highlight w:val="none"/>
              </w:rPr>
              <w:t xml:space="preserve">在中国国际招标网公告。本次招标采用传统招标方式，现邀请合格投标人参加投标。 </w:t>
            </w:r>
          </w:p>
        </w:tc>
      </w:tr>
      <w:tr w14:paraId="172983B6">
        <w:tblPrEx>
          <w:tblCellMar>
            <w:top w:w="15" w:type="dxa"/>
            <w:left w:w="15" w:type="dxa"/>
            <w:bottom w:w="15" w:type="dxa"/>
            <w:right w:w="15" w:type="dxa"/>
          </w:tblCellMar>
        </w:tblPrEx>
        <w:trPr>
          <w:tblCellSpacing w:w="15" w:type="dxa"/>
        </w:trPr>
        <w:tc>
          <w:tcPr>
            <w:tcW w:w="9107" w:type="dxa"/>
            <w:vAlign w:val="center"/>
          </w:tcPr>
          <w:p w14:paraId="656963E0">
            <w:pPr>
              <w:widowControl/>
              <w:spacing w:line="420" w:lineRule="exact"/>
              <w:jc w:val="left"/>
              <w:rPr>
                <w:color w:val="auto"/>
                <w:kern w:val="0"/>
                <w:sz w:val="24"/>
                <w:szCs w:val="24"/>
                <w:highlight w:val="none"/>
              </w:rPr>
            </w:pPr>
            <w:r>
              <w:rPr>
                <w:rFonts w:hint="eastAsia"/>
                <w:b/>
                <w:bCs/>
                <w:color w:val="auto"/>
                <w:kern w:val="0"/>
                <w:sz w:val="24"/>
                <w:szCs w:val="24"/>
                <w:highlight w:val="none"/>
              </w:rPr>
              <w:t>1、招标条件</w:t>
            </w:r>
          </w:p>
        </w:tc>
      </w:tr>
      <w:tr w14:paraId="79D12A2E">
        <w:tblPrEx>
          <w:tblCellMar>
            <w:top w:w="15" w:type="dxa"/>
            <w:left w:w="15" w:type="dxa"/>
            <w:bottom w:w="15" w:type="dxa"/>
            <w:right w:w="15" w:type="dxa"/>
          </w:tblCellMar>
        </w:tblPrEx>
        <w:trPr>
          <w:tblCellSpacing w:w="15" w:type="dxa"/>
        </w:trPr>
        <w:tc>
          <w:tcPr>
            <w:tcW w:w="9107" w:type="dxa"/>
            <w:vAlign w:val="center"/>
          </w:tcPr>
          <w:p w14:paraId="2EAE8FD8">
            <w:pPr>
              <w:widowControl/>
              <w:spacing w:line="420" w:lineRule="exact"/>
              <w:jc w:val="left"/>
              <w:rPr>
                <w:color w:val="auto"/>
                <w:kern w:val="0"/>
                <w:sz w:val="24"/>
                <w:szCs w:val="24"/>
                <w:highlight w:val="none"/>
              </w:rPr>
            </w:pPr>
            <w:r>
              <w:rPr>
                <w:rFonts w:hint="eastAsia"/>
                <w:color w:val="auto"/>
                <w:kern w:val="0"/>
                <w:sz w:val="24"/>
                <w:szCs w:val="24"/>
                <w:highlight w:val="none"/>
              </w:rPr>
              <w:t>项目概况：详见招标文件</w:t>
            </w:r>
          </w:p>
        </w:tc>
      </w:tr>
      <w:tr w14:paraId="4CD9AC9E">
        <w:tblPrEx>
          <w:tblCellMar>
            <w:top w:w="15" w:type="dxa"/>
            <w:left w:w="15" w:type="dxa"/>
            <w:bottom w:w="15" w:type="dxa"/>
            <w:right w:w="15" w:type="dxa"/>
          </w:tblCellMar>
        </w:tblPrEx>
        <w:trPr>
          <w:tblCellSpacing w:w="15" w:type="dxa"/>
        </w:trPr>
        <w:tc>
          <w:tcPr>
            <w:tcW w:w="9107" w:type="dxa"/>
            <w:vAlign w:val="center"/>
          </w:tcPr>
          <w:p w14:paraId="684C294F">
            <w:pPr>
              <w:widowControl/>
              <w:spacing w:line="420" w:lineRule="exact"/>
              <w:jc w:val="left"/>
              <w:rPr>
                <w:color w:val="auto"/>
                <w:kern w:val="0"/>
                <w:sz w:val="24"/>
                <w:szCs w:val="24"/>
                <w:highlight w:val="none"/>
              </w:rPr>
            </w:pPr>
            <w:r>
              <w:rPr>
                <w:rFonts w:hint="eastAsia"/>
                <w:color w:val="auto"/>
                <w:kern w:val="0"/>
                <w:sz w:val="24"/>
                <w:szCs w:val="24"/>
                <w:highlight w:val="none"/>
              </w:rPr>
              <w:t>资金到位或资金来源落实情况：国有资金占控股或主导地位，已落实</w:t>
            </w:r>
          </w:p>
        </w:tc>
      </w:tr>
      <w:tr w14:paraId="40BF3E8D">
        <w:tblPrEx>
          <w:tblCellMar>
            <w:top w:w="15" w:type="dxa"/>
            <w:left w:w="15" w:type="dxa"/>
            <w:bottom w:w="15" w:type="dxa"/>
            <w:right w:w="15" w:type="dxa"/>
          </w:tblCellMar>
        </w:tblPrEx>
        <w:trPr>
          <w:tblCellSpacing w:w="15" w:type="dxa"/>
        </w:trPr>
        <w:tc>
          <w:tcPr>
            <w:tcW w:w="9107" w:type="dxa"/>
            <w:vAlign w:val="center"/>
          </w:tcPr>
          <w:p w14:paraId="55BFF8F9">
            <w:pPr>
              <w:widowControl/>
              <w:spacing w:line="420" w:lineRule="exact"/>
              <w:jc w:val="left"/>
              <w:rPr>
                <w:color w:val="auto"/>
                <w:kern w:val="0"/>
                <w:sz w:val="24"/>
                <w:szCs w:val="24"/>
                <w:highlight w:val="none"/>
              </w:rPr>
            </w:pPr>
            <w:r>
              <w:rPr>
                <w:rFonts w:hint="eastAsia"/>
                <w:color w:val="auto"/>
                <w:kern w:val="0"/>
                <w:sz w:val="24"/>
                <w:szCs w:val="24"/>
                <w:highlight w:val="none"/>
              </w:rPr>
              <w:t>项目已具备招标条件的说明：资金已落实，具备招标条件</w:t>
            </w:r>
          </w:p>
        </w:tc>
      </w:tr>
      <w:tr w14:paraId="48E50803">
        <w:tblPrEx>
          <w:tblCellMar>
            <w:top w:w="15" w:type="dxa"/>
            <w:left w:w="15" w:type="dxa"/>
            <w:bottom w:w="15" w:type="dxa"/>
            <w:right w:w="15" w:type="dxa"/>
          </w:tblCellMar>
        </w:tblPrEx>
        <w:trPr>
          <w:tblCellSpacing w:w="15" w:type="dxa"/>
        </w:trPr>
        <w:tc>
          <w:tcPr>
            <w:tcW w:w="9107" w:type="dxa"/>
            <w:vAlign w:val="center"/>
          </w:tcPr>
          <w:p w14:paraId="03CF75C0">
            <w:pPr>
              <w:widowControl/>
              <w:spacing w:line="420" w:lineRule="exact"/>
              <w:jc w:val="left"/>
              <w:rPr>
                <w:color w:val="auto"/>
                <w:kern w:val="0"/>
                <w:sz w:val="24"/>
                <w:szCs w:val="24"/>
                <w:highlight w:val="none"/>
              </w:rPr>
            </w:pPr>
            <w:r>
              <w:rPr>
                <w:rFonts w:hint="eastAsia"/>
                <w:b/>
                <w:bCs/>
                <w:color w:val="auto"/>
                <w:kern w:val="0"/>
                <w:sz w:val="24"/>
                <w:szCs w:val="24"/>
                <w:highlight w:val="none"/>
              </w:rPr>
              <w:t>2、招标内容</w:t>
            </w:r>
          </w:p>
        </w:tc>
      </w:tr>
      <w:tr w14:paraId="343BF24C">
        <w:tblPrEx>
          <w:tblCellMar>
            <w:top w:w="15" w:type="dxa"/>
            <w:left w:w="15" w:type="dxa"/>
            <w:bottom w:w="15" w:type="dxa"/>
            <w:right w:w="15" w:type="dxa"/>
          </w:tblCellMar>
        </w:tblPrEx>
        <w:trPr>
          <w:tblCellSpacing w:w="15" w:type="dxa"/>
        </w:trPr>
        <w:tc>
          <w:tcPr>
            <w:tcW w:w="9107" w:type="dxa"/>
            <w:vAlign w:val="center"/>
          </w:tcPr>
          <w:p w14:paraId="15713CF3">
            <w:pPr>
              <w:widowControl/>
              <w:spacing w:line="420" w:lineRule="exact"/>
              <w:jc w:val="left"/>
              <w:rPr>
                <w:rFonts w:hint="eastAsia" w:eastAsia="宋体"/>
                <w:color w:val="auto"/>
                <w:kern w:val="0"/>
                <w:sz w:val="24"/>
                <w:szCs w:val="24"/>
                <w:highlight w:val="none"/>
                <w:lang w:eastAsia="zh-CN"/>
              </w:rPr>
            </w:pPr>
            <w:r>
              <w:rPr>
                <w:rFonts w:hint="eastAsia"/>
                <w:color w:val="auto"/>
                <w:kern w:val="0"/>
                <w:sz w:val="24"/>
                <w:szCs w:val="24"/>
                <w:highlight w:val="none"/>
              </w:rPr>
              <w:t>招标项目编号：</w:t>
            </w:r>
            <w:r>
              <w:rPr>
                <w:rFonts w:hint="eastAsia"/>
                <w:color w:val="auto"/>
                <w:kern w:val="0"/>
                <w:sz w:val="24"/>
                <w:szCs w:val="24"/>
                <w:highlight w:val="none"/>
                <w:lang w:eastAsia="zh-CN"/>
              </w:rPr>
              <w:t>0675-254JOC105378</w:t>
            </w:r>
          </w:p>
        </w:tc>
      </w:tr>
      <w:tr w14:paraId="5BCCB9F1">
        <w:tblPrEx>
          <w:tblCellMar>
            <w:top w:w="15" w:type="dxa"/>
            <w:left w:w="15" w:type="dxa"/>
            <w:bottom w:w="15" w:type="dxa"/>
            <w:right w:w="15" w:type="dxa"/>
          </w:tblCellMar>
        </w:tblPrEx>
        <w:trPr>
          <w:tblCellSpacing w:w="15" w:type="dxa"/>
        </w:trPr>
        <w:tc>
          <w:tcPr>
            <w:tcW w:w="9107" w:type="dxa"/>
            <w:vAlign w:val="center"/>
          </w:tcPr>
          <w:p w14:paraId="28E30C72">
            <w:pPr>
              <w:jc w:val="left"/>
              <w:rPr>
                <w:color w:val="auto"/>
                <w:kern w:val="0"/>
                <w:sz w:val="24"/>
                <w:szCs w:val="24"/>
                <w:highlight w:val="none"/>
              </w:rPr>
            </w:pPr>
            <w:r>
              <w:rPr>
                <w:rFonts w:hint="eastAsia"/>
                <w:color w:val="auto"/>
                <w:kern w:val="0"/>
                <w:sz w:val="24"/>
                <w:szCs w:val="24"/>
                <w:highlight w:val="none"/>
              </w:rPr>
              <w:t>招标项目名称：</w:t>
            </w:r>
            <w:r>
              <w:rPr>
                <w:rFonts w:hint="eastAsia"/>
                <w:color w:val="auto"/>
                <w:kern w:val="0"/>
                <w:sz w:val="24"/>
                <w:szCs w:val="24"/>
                <w:highlight w:val="none"/>
                <w:lang w:eastAsia="zh-CN"/>
              </w:rPr>
              <w:t>机芯动平衡机</w:t>
            </w:r>
            <w:r>
              <w:rPr>
                <w:rFonts w:hint="eastAsia"/>
                <w:color w:val="auto"/>
                <w:kern w:val="0"/>
                <w:sz w:val="24"/>
                <w:szCs w:val="24"/>
                <w:highlight w:val="none"/>
              </w:rPr>
              <w:t>机电产品采购项目（重新招标）</w:t>
            </w:r>
          </w:p>
        </w:tc>
      </w:tr>
      <w:tr w14:paraId="048D9434">
        <w:tblPrEx>
          <w:tblCellMar>
            <w:top w:w="15" w:type="dxa"/>
            <w:left w:w="15" w:type="dxa"/>
            <w:bottom w:w="15" w:type="dxa"/>
            <w:right w:w="15" w:type="dxa"/>
          </w:tblCellMar>
        </w:tblPrEx>
        <w:trPr>
          <w:tblCellSpacing w:w="15" w:type="dxa"/>
        </w:trPr>
        <w:tc>
          <w:tcPr>
            <w:tcW w:w="9107" w:type="dxa"/>
            <w:vAlign w:val="center"/>
          </w:tcPr>
          <w:p w14:paraId="58064B8F">
            <w:pPr>
              <w:widowControl/>
              <w:spacing w:line="420" w:lineRule="exact"/>
              <w:jc w:val="left"/>
              <w:rPr>
                <w:rFonts w:hint="eastAsia" w:eastAsia="宋体"/>
                <w:color w:val="auto"/>
                <w:kern w:val="0"/>
                <w:sz w:val="24"/>
                <w:szCs w:val="24"/>
                <w:highlight w:val="none"/>
                <w:lang w:eastAsia="zh-CN"/>
              </w:rPr>
            </w:pPr>
            <w:r>
              <w:rPr>
                <w:rFonts w:hint="eastAsia"/>
                <w:color w:val="auto"/>
                <w:kern w:val="0"/>
                <w:sz w:val="24"/>
                <w:szCs w:val="24"/>
                <w:highlight w:val="none"/>
              </w:rPr>
              <w:t>项目实施地点：</w:t>
            </w:r>
            <w:r>
              <w:rPr>
                <w:rFonts w:hint="eastAsia"/>
                <w:color w:val="auto"/>
                <w:kern w:val="0"/>
                <w:sz w:val="24"/>
                <w:szCs w:val="24"/>
                <w:highlight w:val="none"/>
                <w:lang w:val="en-US" w:eastAsia="zh-CN"/>
              </w:rPr>
              <w:t>宁波</w:t>
            </w:r>
          </w:p>
        </w:tc>
      </w:tr>
      <w:tr w14:paraId="03688DE8">
        <w:tblPrEx>
          <w:tblCellMar>
            <w:top w:w="15" w:type="dxa"/>
            <w:left w:w="15" w:type="dxa"/>
            <w:bottom w:w="15" w:type="dxa"/>
            <w:right w:w="15" w:type="dxa"/>
          </w:tblCellMar>
        </w:tblPrEx>
        <w:trPr>
          <w:tblCellSpacing w:w="15" w:type="dxa"/>
        </w:trPr>
        <w:tc>
          <w:tcPr>
            <w:tcW w:w="9107" w:type="dxa"/>
            <w:vAlign w:val="center"/>
          </w:tcPr>
          <w:p w14:paraId="467B4DE8">
            <w:pPr>
              <w:widowControl/>
              <w:spacing w:line="420" w:lineRule="exact"/>
              <w:jc w:val="left"/>
              <w:rPr>
                <w:color w:val="auto"/>
                <w:kern w:val="0"/>
                <w:sz w:val="24"/>
                <w:szCs w:val="24"/>
                <w:highlight w:val="none"/>
              </w:rPr>
            </w:pPr>
            <w:r>
              <w:rPr>
                <w:rFonts w:hint="eastAsia"/>
                <w:color w:val="auto"/>
                <w:kern w:val="0"/>
                <w:sz w:val="24"/>
                <w:szCs w:val="24"/>
                <w:highlight w:val="none"/>
              </w:rPr>
              <w:t>招标产品列表(主要设备)：</w:t>
            </w:r>
          </w:p>
        </w:tc>
      </w:tr>
      <w:tr w14:paraId="7A129A35">
        <w:tblPrEx>
          <w:tblCellMar>
            <w:top w:w="15" w:type="dxa"/>
            <w:left w:w="15" w:type="dxa"/>
            <w:bottom w:w="15" w:type="dxa"/>
            <w:right w:w="15" w:type="dxa"/>
          </w:tblCellMar>
        </w:tblPrEx>
        <w:trPr>
          <w:tblCellSpacing w:w="15" w:type="dxa"/>
        </w:trPr>
        <w:tc>
          <w:tcPr>
            <w:tcW w:w="9107" w:type="dxa"/>
            <w:vAlign w:val="center"/>
          </w:tcPr>
          <w:tbl>
            <w:tblPr>
              <w:tblStyle w:val="17"/>
              <w:tblW w:w="8561"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37"/>
              <w:gridCol w:w="1822"/>
              <w:gridCol w:w="703"/>
              <w:gridCol w:w="4562"/>
              <w:gridCol w:w="737"/>
            </w:tblGrid>
            <w:tr w14:paraId="0FF5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578" w:hRule="atLeast"/>
                <w:tblCellSpacing w:w="0" w:type="dxa"/>
              </w:trPr>
              <w:tc>
                <w:tcPr>
                  <w:tcW w:w="737" w:type="dxa"/>
                  <w:vAlign w:val="center"/>
                </w:tcPr>
                <w:p w14:paraId="5D18C1D7">
                  <w:pPr>
                    <w:widowControl/>
                    <w:jc w:val="center"/>
                    <w:rPr>
                      <w:rFonts w:ascii="Arial" w:hAnsi="Arial" w:cs="Arial"/>
                      <w:bCs/>
                      <w:color w:val="auto"/>
                      <w:kern w:val="0"/>
                      <w:sz w:val="24"/>
                      <w:szCs w:val="21"/>
                      <w:highlight w:val="none"/>
                    </w:rPr>
                  </w:pPr>
                  <w:r>
                    <w:rPr>
                      <w:rFonts w:hint="eastAsia" w:ascii="Arial" w:hAnsi="Arial" w:cs="Arial"/>
                      <w:bCs/>
                      <w:color w:val="auto"/>
                      <w:kern w:val="0"/>
                      <w:sz w:val="24"/>
                      <w:szCs w:val="21"/>
                      <w:highlight w:val="none"/>
                    </w:rPr>
                    <w:t>序号</w:t>
                  </w:r>
                </w:p>
              </w:tc>
              <w:tc>
                <w:tcPr>
                  <w:tcW w:w="1822" w:type="dxa"/>
                  <w:vAlign w:val="center"/>
                </w:tcPr>
                <w:p w14:paraId="19D136AA">
                  <w:pPr>
                    <w:widowControl/>
                    <w:jc w:val="center"/>
                    <w:rPr>
                      <w:rFonts w:ascii="Arial" w:hAnsi="Arial" w:cs="Arial"/>
                      <w:bCs/>
                      <w:color w:val="auto"/>
                      <w:kern w:val="0"/>
                      <w:sz w:val="24"/>
                      <w:szCs w:val="21"/>
                      <w:highlight w:val="none"/>
                    </w:rPr>
                  </w:pPr>
                  <w:r>
                    <w:rPr>
                      <w:rFonts w:hint="eastAsia" w:ascii="Arial" w:hAnsi="Arial" w:cs="Arial"/>
                      <w:bCs/>
                      <w:color w:val="auto"/>
                      <w:kern w:val="0"/>
                      <w:sz w:val="24"/>
                      <w:szCs w:val="21"/>
                      <w:highlight w:val="none"/>
                    </w:rPr>
                    <w:t>产品名称</w:t>
                  </w:r>
                </w:p>
              </w:tc>
              <w:tc>
                <w:tcPr>
                  <w:tcW w:w="703" w:type="dxa"/>
                  <w:vAlign w:val="center"/>
                </w:tcPr>
                <w:p w14:paraId="0A2ADE45">
                  <w:pPr>
                    <w:widowControl/>
                    <w:jc w:val="center"/>
                    <w:rPr>
                      <w:rFonts w:ascii="Arial" w:hAnsi="Arial" w:cs="Arial"/>
                      <w:bCs/>
                      <w:color w:val="auto"/>
                      <w:kern w:val="0"/>
                      <w:sz w:val="24"/>
                      <w:szCs w:val="21"/>
                      <w:highlight w:val="none"/>
                    </w:rPr>
                  </w:pPr>
                  <w:r>
                    <w:rPr>
                      <w:rFonts w:hint="eastAsia" w:ascii="Arial" w:hAnsi="Arial" w:cs="Arial"/>
                      <w:bCs/>
                      <w:color w:val="auto"/>
                      <w:kern w:val="0"/>
                      <w:sz w:val="24"/>
                      <w:szCs w:val="21"/>
                      <w:highlight w:val="none"/>
                    </w:rPr>
                    <w:t>数量</w:t>
                  </w:r>
                </w:p>
              </w:tc>
              <w:tc>
                <w:tcPr>
                  <w:tcW w:w="4562" w:type="dxa"/>
                  <w:vAlign w:val="center"/>
                </w:tcPr>
                <w:p w14:paraId="299DAD9F">
                  <w:pPr>
                    <w:widowControl/>
                    <w:jc w:val="center"/>
                    <w:rPr>
                      <w:rFonts w:ascii="Arial" w:hAnsi="Arial" w:cs="Arial"/>
                      <w:bCs/>
                      <w:color w:val="auto"/>
                      <w:kern w:val="0"/>
                      <w:sz w:val="24"/>
                      <w:szCs w:val="21"/>
                      <w:highlight w:val="none"/>
                    </w:rPr>
                  </w:pPr>
                  <w:r>
                    <w:rPr>
                      <w:rFonts w:hint="eastAsia" w:ascii="Arial" w:hAnsi="Arial" w:cs="Arial"/>
                      <w:bCs/>
                      <w:color w:val="auto"/>
                      <w:kern w:val="0"/>
                      <w:sz w:val="24"/>
                      <w:szCs w:val="21"/>
                      <w:highlight w:val="none"/>
                    </w:rPr>
                    <w:t>简要技术规格</w:t>
                  </w:r>
                </w:p>
              </w:tc>
              <w:tc>
                <w:tcPr>
                  <w:tcW w:w="737" w:type="dxa"/>
                  <w:vAlign w:val="center"/>
                </w:tcPr>
                <w:p w14:paraId="211A7B37">
                  <w:pPr>
                    <w:widowControl/>
                    <w:jc w:val="center"/>
                    <w:rPr>
                      <w:rFonts w:ascii="Arial" w:hAnsi="Arial" w:cs="Arial"/>
                      <w:bCs/>
                      <w:color w:val="auto"/>
                      <w:kern w:val="0"/>
                      <w:sz w:val="24"/>
                      <w:szCs w:val="21"/>
                      <w:highlight w:val="none"/>
                    </w:rPr>
                  </w:pPr>
                  <w:r>
                    <w:rPr>
                      <w:rFonts w:hint="eastAsia" w:ascii="Arial" w:hAnsi="Arial" w:cs="Arial"/>
                      <w:bCs/>
                      <w:color w:val="auto"/>
                      <w:kern w:val="0"/>
                      <w:sz w:val="24"/>
                      <w:szCs w:val="21"/>
                      <w:highlight w:val="none"/>
                    </w:rPr>
                    <w:t>备注</w:t>
                  </w:r>
                </w:p>
              </w:tc>
            </w:tr>
            <w:tr w14:paraId="16CD4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474" w:hRule="atLeast"/>
                <w:tblCellSpacing w:w="0" w:type="dxa"/>
              </w:trPr>
              <w:tc>
                <w:tcPr>
                  <w:tcW w:w="737" w:type="dxa"/>
                  <w:vAlign w:val="center"/>
                </w:tcPr>
                <w:p w14:paraId="5E1F0E68">
                  <w:pPr>
                    <w:widowControl/>
                    <w:jc w:val="center"/>
                    <w:rPr>
                      <w:rFonts w:hint="eastAsia" w:ascii="Arial" w:hAnsi="Arial" w:cs="Arial"/>
                      <w:bCs/>
                      <w:color w:val="auto"/>
                      <w:kern w:val="0"/>
                      <w:sz w:val="24"/>
                      <w:szCs w:val="21"/>
                      <w:highlight w:val="none"/>
                      <w:lang w:val="en-NZ"/>
                    </w:rPr>
                  </w:pPr>
                  <w:r>
                    <w:rPr>
                      <w:rFonts w:hint="eastAsia" w:ascii="Arial" w:hAnsi="Arial" w:cs="Arial"/>
                      <w:bCs/>
                      <w:color w:val="auto"/>
                      <w:kern w:val="0"/>
                      <w:sz w:val="24"/>
                      <w:szCs w:val="21"/>
                      <w:highlight w:val="none"/>
                    </w:rPr>
                    <w:t>01</w:t>
                  </w:r>
                </w:p>
              </w:tc>
              <w:tc>
                <w:tcPr>
                  <w:tcW w:w="1822" w:type="dxa"/>
                  <w:vAlign w:val="center"/>
                </w:tcPr>
                <w:p w14:paraId="73E44856">
                  <w:pPr>
                    <w:widowControl/>
                    <w:jc w:val="center"/>
                    <w:rPr>
                      <w:rFonts w:hint="eastAsia" w:ascii="Arial" w:hAnsi="Arial" w:cs="Arial"/>
                      <w:bCs/>
                      <w:color w:val="auto"/>
                      <w:kern w:val="0"/>
                      <w:sz w:val="24"/>
                      <w:szCs w:val="21"/>
                      <w:highlight w:val="none"/>
                    </w:rPr>
                  </w:pPr>
                  <w:r>
                    <w:rPr>
                      <w:rFonts w:hint="eastAsia" w:ascii="Arial" w:hAnsi="Arial" w:cs="Arial"/>
                      <w:bCs/>
                      <w:color w:val="auto"/>
                      <w:kern w:val="0"/>
                      <w:sz w:val="24"/>
                      <w:szCs w:val="21"/>
                      <w:highlight w:val="none"/>
                      <w:lang w:eastAsia="zh-CN"/>
                    </w:rPr>
                    <w:t>机芯动平衡机</w:t>
                  </w:r>
                </w:p>
              </w:tc>
              <w:tc>
                <w:tcPr>
                  <w:tcW w:w="703" w:type="dxa"/>
                  <w:vAlign w:val="center"/>
                </w:tcPr>
                <w:p w14:paraId="17B7EFCC">
                  <w:pPr>
                    <w:widowControl/>
                    <w:jc w:val="center"/>
                    <w:rPr>
                      <w:rFonts w:hint="eastAsia" w:ascii="Arial" w:hAnsi="Arial" w:cs="Arial"/>
                      <w:bCs/>
                      <w:color w:val="auto"/>
                      <w:kern w:val="0"/>
                      <w:sz w:val="24"/>
                      <w:szCs w:val="21"/>
                      <w:highlight w:val="none"/>
                    </w:rPr>
                  </w:pPr>
                  <w:r>
                    <w:rPr>
                      <w:rFonts w:hint="eastAsia" w:ascii="Arial" w:hAnsi="Arial" w:cs="Arial"/>
                      <w:bCs/>
                      <w:color w:val="auto"/>
                      <w:kern w:val="0"/>
                      <w:sz w:val="24"/>
                      <w:szCs w:val="21"/>
                      <w:highlight w:val="none"/>
                      <w:lang w:val="en-US" w:eastAsia="zh-CN"/>
                    </w:rPr>
                    <w:t>3</w:t>
                  </w:r>
                  <w:r>
                    <w:rPr>
                      <w:rFonts w:hint="eastAsia" w:ascii="Arial" w:hAnsi="Arial" w:cs="Arial"/>
                      <w:bCs/>
                      <w:color w:val="auto"/>
                      <w:kern w:val="0"/>
                      <w:sz w:val="24"/>
                      <w:szCs w:val="21"/>
                      <w:highlight w:val="none"/>
                    </w:rPr>
                    <w:t>台</w:t>
                  </w:r>
                </w:p>
              </w:tc>
              <w:tc>
                <w:tcPr>
                  <w:tcW w:w="4562" w:type="dxa"/>
                  <w:vAlign w:val="center"/>
                </w:tcPr>
                <w:p w14:paraId="49CE8C8C">
                  <w:pPr>
                    <w:widowControl/>
                    <w:jc w:val="left"/>
                    <w:rPr>
                      <w:rFonts w:hint="eastAsia" w:ascii="Arial" w:hAnsi="Arial" w:cs="Arial"/>
                      <w:bCs/>
                      <w:color w:val="auto"/>
                      <w:kern w:val="0"/>
                      <w:sz w:val="24"/>
                      <w:szCs w:val="21"/>
                      <w:highlight w:val="none"/>
                    </w:rPr>
                  </w:pPr>
                  <w:r>
                    <w:rPr>
                      <w:rFonts w:hint="eastAsia" w:ascii="Arial" w:hAnsi="宋体"/>
                      <w:color w:val="auto"/>
                      <w:sz w:val="24"/>
                      <w:szCs w:val="24"/>
                      <w:highlight w:val="none"/>
                      <w:lang w:eastAsia="zh-CN"/>
                    </w:rPr>
                    <w:t>该设备用于</w:t>
                  </w:r>
                  <w:r>
                    <w:rPr>
                      <w:rFonts w:hint="eastAsia"/>
                      <w:color w:val="auto"/>
                      <w:sz w:val="24"/>
                      <w:szCs w:val="24"/>
                      <w:highlight w:val="none"/>
                      <w:lang w:eastAsia="zh-CN"/>
                    </w:rPr>
                    <w:t>涡轮增压器机芯部件的高速动平衡，具备双面振动和不平衡量的测量，单面或双面自动校正，以及脉冲分析等功能。具备良好的工装互换性，测量精度高，生产效率高</w:t>
                  </w:r>
                  <w:r>
                    <w:rPr>
                      <w:rFonts w:hint="eastAsia" w:ascii="Arial" w:hAnsi="宋体"/>
                      <w:color w:val="auto"/>
                      <w:sz w:val="24"/>
                      <w:szCs w:val="24"/>
                      <w:highlight w:val="none"/>
                      <w:lang w:eastAsia="zh-CN"/>
                    </w:rPr>
                    <w:t>，机床操作、维修方便，造型美观，售后服务优良。</w:t>
                  </w:r>
                </w:p>
              </w:tc>
              <w:tc>
                <w:tcPr>
                  <w:tcW w:w="737" w:type="dxa"/>
                  <w:vAlign w:val="center"/>
                </w:tcPr>
                <w:p w14:paraId="6A2E8C67">
                  <w:pPr>
                    <w:widowControl/>
                    <w:jc w:val="center"/>
                    <w:rPr>
                      <w:rFonts w:hint="eastAsia" w:ascii="Arial" w:hAnsi="Arial" w:cs="Arial"/>
                      <w:bCs/>
                      <w:color w:val="auto"/>
                      <w:kern w:val="0"/>
                      <w:sz w:val="24"/>
                      <w:szCs w:val="21"/>
                      <w:highlight w:val="none"/>
                    </w:rPr>
                  </w:pPr>
                  <w:r>
                    <w:rPr>
                      <w:rFonts w:hint="eastAsia" w:ascii="Arial" w:hAnsi="Arial" w:cs="Arial"/>
                      <w:bCs/>
                      <w:color w:val="auto"/>
                      <w:kern w:val="0"/>
                      <w:sz w:val="24"/>
                      <w:szCs w:val="21"/>
                      <w:highlight w:val="none"/>
                    </w:rPr>
                    <w:t>/</w:t>
                  </w:r>
                </w:p>
              </w:tc>
            </w:tr>
          </w:tbl>
          <w:p w14:paraId="1752DBEE">
            <w:pPr>
              <w:spacing w:line="420" w:lineRule="exact"/>
              <w:ind w:firstLine="560" w:firstLineChars="200"/>
              <w:jc w:val="center"/>
              <w:rPr>
                <w:color w:val="auto"/>
                <w:sz w:val="28"/>
                <w:szCs w:val="28"/>
                <w:highlight w:val="none"/>
                <w:lang w:val="de-DE"/>
              </w:rPr>
            </w:pPr>
          </w:p>
        </w:tc>
      </w:tr>
      <w:tr w14:paraId="066B4116">
        <w:tblPrEx>
          <w:tblCellMar>
            <w:top w:w="15" w:type="dxa"/>
            <w:left w:w="15" w:type="dxa"/>
            <w:bottom w:w="15" w:type="dxa"/>
            <w:right w:w="15" w:type="dxa"/>
          </w:tblCellMar>
        </w:tblPrEx>
        <w:trPr>
          <w:tblCellSpacing w:w="15" w:type="dxa"/>
        </w:trPr>
        <w:tc>
          <w:tcPr>
            <w:tcW w:w="9107" w:type="dxa"/>
            <w:vAlign w:val="center"/>
          </w:tcPr>
          <w:p w14:paraId="36B2DA3E">
            <w:pPr>
              <w:widowControl/>
              <w:rPr>
                <w:rFonts w:ascii="Arial" w:hAnsi="Arial" w:cs="Arial"/>
                <w:bCs/>
                <w:color w:val="auto"/>
                <w:kern w:val="0"/>
                <w:sz w:val="24"/>
                <w:szCs w:val="21"/>
                <w:highlight w:val="none"/>
              </w:rPr>
            </w:pPr>
          </w:p>
        </w:tc>
      </w:tr>
      <w:tr w14:paraId="09238BF3">
        <w:tblPrEx>
          <w:tblCellMar>
            <w:top w:w="15" w:type="dxa"/>
            <w:left w:w="15" w:type="dxa"/>
            <w:bottom w:w="15" w:type="dxa"/>
            <w:right w:w="15" w:type="dxa"/>
          </w:tblCellMar>
        </w:tblPrEx>
        <w:trPr>
          <w:trHeight w:val="409" w:hRule="atLeast"/>
          <w:tblCellSpacing w:w="15" w:type="dxa"/>
        </w:trPr>
        <w:tc>
          <w:tcPr>
            <w:tcW w:w="9107" w:type="dxa"/>
            <w:vAlign w:val="center"/>
          </w:tcPr>
          <w:p w14:paraId="5BACA42F">
            <w:pPr>
              <w:widowControl/>
              <w:spacing w:line="420" w:lineRule="exact"/>
              <w:jc w:val="left"/>
              <w:rPr>
                <w:color w:val="auto"/>
                <w:kern w:val="0"/>
                <w:sz w:val="24"/>
                <w:szCs w:val="24"/>
                <w:highlight w:val="none"/>
              </w:rPr>
            </w:pPr>
            <w:r>
              <w:rPr>
                <w:rFonts w:hint="eastAsia"/>
                <w:b/>
                <w:bCs/>
                <w:color w:val="auto"/>
                <w:kern w:val="0"/>
                <w:sz w:val="24"/>
                <w:szCs w:val="24"/>
                <w:highlight w:val="none"/>
              </w:rPr>
              <w:t>3、投标人资格要求</w:t>
            </w:r>
          </w:p>
        </w:tc>
      </w:tr>
      <w:tr w14:paraId="65664ED4">
        <w:tblPrEx>
          <w:tblCellMar>
            <w:top w:w="15" w:type="dxa"/>
            <w:left w:w="15" w:type="dxa"/>
            <w:bottom w:w="15" w:type="dxa"/>
            <w:right w:w="15" w:type="dxa"/>
          </w:tblCellMar>
        </w:tblPrEx>
        <w:trPr>
          <w:trHeight w:val="1143" w:hRule="atLeast"/>
          <w:tblCellSpacing w:w="15" w:type="dxa"/>
        </w:trPr>
        <w:tc>
          <w:tcPr>
            <w:tcW w:w="9107" w:type="dxa"/>
            <w:vAlign w:val="center"/>
          </w:tcPr>
          <w:p w14:paraId="33BC99D5">
            <w:pPr>
              <w:spacing w:line="276" w:lineRule="auto"/>
              <w:rPr>
                <w:color w:val="auto"/>
                <w:kern w:val="0"/>
                <w:sz w:val="24"/>
                <w:szCs w:val="24"/>
                <w:highlight w:val="none"/>
              </w:rPr>
            </w:pPr>
            <w:r>
              <w:rPr>
                <w:rFonts w:hint="eastAsia"/>
                <w:color w:val="auto"/>
                <w:kern w:val="0"/>
                <w:sz w:val="24"/>
                <w:szCs w:val="24"/>
                <w:highlight w:val="none"/>
              </w:rPr>
              <w:t>投标人应具备的资格或业绩：投标人应具备类似项目的成功经验。</w:t>
            </w:r>
          </w:p>
        </w:tc>
      </w:tr>
      <w:tr w14:paraId="71C5DB76">
        <w:tblPrEx>
          <w:tblCellMar>
            <w:top w:w="15" w:type="dxa"/>
            <w:left w:w="15" w:type="dxa"/>
            <w:bottom w:w="15" w:type="dxa"/>
            <w:right w:w="15" w:type="dxa"/>
          </w:tblCellMar>
        </w:tblPrEx>
        <w:trPr>
          <w:tblCellSpacing w:w="15" w:type="dxa"/>
        </w:trPr>
        <w:tc>
          <w:tcPr>
            <w:tcW w:w="9107" w:type="dxa"/>
            <w:vAlign w:val="center"/>
          </w:tcPr>
          <w:p w14:paraId="20EAFBAD">
            <w:pPr>
              <w:widowControl/>
              <w:spacing w:line="420" w:lineRule="exact"/>
              <w:jc w:val="left"/>
              <w:rPr>
                <w:color w:val="auto"/>
                <w:kern w:val="0"/>
                <w:sz w:val="24"/>
                <w:szCs w:val="24"/>
                <w:highlight w:val="none"/>
              </w:rPr>
            </w:pPr>
            <w:r>
              <w:rPr>
                <w:rFonts w:hint="eastAsia"/>
                <w:color w:val="auto"/>
                <w:kern w:val="0"/>
                <w:sz w:val="24"/>
                <w:szCs w:val="24"/>
                <w:highlight w:val="none"/>
              </w:rPr>
              <w:t>是否接受联合体投标：不接受</w:t>
            </w:r>
          </w:p>
        </w:tc>
      </w:tr>
      <w:tr w14:paraId="4AB09E54">
        <w:tblPrEx>
          <w:tblCellMar>
            <w:top w:w="15" w:type="dxa"/>
            <w:left w:w="15" w:type="dxa"/>
            <w:bottom w:w="15" w:type="dxa"/>
            <w:right w:w="15" w:type="dxa"/>
          </w:tblCellMar>
        </w:tblPrEx>
        <w:trPr>
          <w:tblCellSpacing w:w="15" w:type="dxa"/>
        </w:trPr>
        <w:tc>
          <w:tcPr>
            <w:tcW w:w="9107" w:type="dxa"/>
            <w:vAlign w:val="center"/>
          </w:tcPr>
          <w:p w14:paraId="4E811FDF">
            <w:pPr>
              <w:widowControl/>
              <w:spacing w:line="420" w:lineRule="exact"/>
              <w:jc w:val="left"/>
              <w:rPr>
                <w:color w:val="auto"/>
                <w:kern w:val="0"/>
                <w:sz w:val="24"/>
                <w:szCs w:val="24"/>
                <w:highlight w:val="none"/>
              </w:rPr>
            </w:pPr>
            <w:r>
              <w:rPr>
                <w:rFonts w:hint="eastAsia"/>
                <w:color w:val="auto"/>
                <w:kern w:val="0"/>
                <w:sz w:val="24"/>
                <w:szCs w:val="24"/>
                <w:highlight w:val="none"/>
              </w:rPr>
              <w:t>未领购招标文件是否可以参加投标：不可以</w:t>
            </w:r>
          </w:p>
        </w:tc>
      </w:tr>
      <w:tr w14:paraId="26E5403D">
        <w:tblPrEx>
          <w:tblCellMar>
            <w:top w:w="15" w:type="dxa"/>
            <w:left w:w="15" w:type="dxa"/>
            <w:bottom w:w="15" w:type="dxa"/>
            <w:right w:w="15" w:type="dxa"/>
          </w:tblCellMar>
        </w:tblPrEx>
        <w:trPr>
          <w:tblCellSpacing w:w="15" w:type="dxa"/>
        </w:trPr>
        <w:tc>
          <w:tcPr>
            <w:tcW w:w="9107" w:type="dxa"/>
            <w:vAlign w:val="center"/>
          </w:tcPr>
          <w:p w14:paraId="74B6E111">
            <w:pPr>
              <w:widowControl/>
              <w:spacing w:line="420" w:lineRule="exact"/>
              <w:jc w:val="left"/>
              <w:rPr>
                <w:color w:val="auto"/>
                <w:kern w:val="0"/>
                <w:sz w:val="24"/>
                <w:szCs w:val="24"/>
                <w:highlight w:val="none"/>
              </w:rPr>
            </w:pPr>
            <w:r>
              <w:rPr>
                <w:rFonts w:hint="eastAsia"/>
                <w:b/>
                <w:bCs/>
                <w:color w:val="auto"/>
                <w:kern w:val="0"/>
                <w:sz w:val="24"/>
                <w:szCs w:val="24"/>
                <w:highlight w:val="none"/>
              </w:rPr>
              <w:t>4、招标文件的获取</w:t>
            </w:r>
          </w:p>
        </w:tc>
      </w:tr>
      <w:tr w14:paraId="3DDB303F">
        <w:tblPrEx>
          <w:tblCellMar>
            <w:top w:w="15" w:type="dxa"/>
            <w:left w:w="15" w:type="dxa"/>
            <w:bottom w:w="15" w:type="dxa"/>
            <w:right w:w="15" w:type="dxa"/>
          </w:tblCellMar>
        </w:tblPrEx>
        <w:trPr>
          <w:tblCellSpacing w:w="15" w:type="dxa"/>
        </w:trPr>
        <w:tc>
          <w:tcPr>
            <w:tcW w:w="9107" w:type="dxa"/>
            <w:vAlign w:val="center"/>
          </w:tcPr>
          <w:p w14:paraId="43DE2FC3">
            <w:pPr>
              <w:widowControl/>
              <w:spacing w:line="420" w:lineRule="exact"/>
              <w:jc w:val="left"/>
              <w:rPr>
                <w:color w:val="auto"/>
                <w:kern w:val="0"/>
                <w:sz w:val="24"/>
                <w:szCs w:val="24"/>
                <w:highlight w:val="none"/>
              </w:rPr>
            </w:pPr>
            <w:r>
              <w:rPr>
                <w:rFonts w:hint="eastAsia"/>
                <w:color w:val="auto"/>
                <w:kern w:val="0"/>
                <w:sz w:val="24"/>
                <w:szCs w:val="24"/>
                <w:highlight w:val="none"/>
              </w:rPr>
              <w:t>招标文件领购开始时间：</w:t>
            </w:r>
            <w:r>
              <w:rPr>
                <w:color w:val="auto"/>
                <w:kern w:val="0"/>
                <w:sz w:val="24"/>
                <w:szCs w:val="24"/>
                <w:highlight w:val="none"/>
              </w:rPr>
              <w:t>202</w:t>
            </w:r>
            <w:r>
              <w:rPr>
                <w:rFonts w:hint="eastAsia"/>
                <w:color w:val="auto"/>
                <w:kern w:val="0"/>
                <w:sz w:val="24"/>
                <w:szCs w:val="24"/>
                <w:highlight w:val="none"/>
                <w:lang w:val="en-US" w:eastAsia="zh-CN"/>
              </w:rPr>
              <w:t>5</w:t>
            </w:r>
            <w:r>
              <w:rPr>
                <w:rFonts w:hint="eastAsia"/>
                <w:color w:val="auto"/>
                <w:kern w:val="0"/>
                <w:sz w:val="24"/>
                <w:szCs w:val="24"/>
                <w:highlight w:val="none"/>
              </w:rPr>
              <w:t>年</w:t>
            </w:r>
            <w:r>
              <w:rPr>
                <w:rFonts w:hint="eastAsia"/>
                <w:color w:val="auto"/>
                <w:kern w:val="0"/>
                <w:sz w:val="24"/>
                <w:szCs w:val="24"/>
                <w:highlight w:val="none"/>
                <w:lang w:val="en-US" w:eastAsia="zh-CN"/>
              </w:rPr>
              <w:t>11月10日</w:t>
            </w:r>
          </w:p>
        </w:tc>
      </w:tr>
      <w:tr w14:paraId="38F155E8">
        <w:tblPrEx>
          <w:tblCellMar>
            <w:top w:w="15" w:type="dxa"/>
            <w:left w:w="15" w:type="dxa"/>
            <w:bottom w:w="15" w:type="dxa"/>
            <w:right w:w="15" w:type="dxa"/>
          </w:tblCellMar>
        </w:tblPrEx>
        <w:trPr>
          <w:tblCellSpacing w:w="15" w:type="dxa"/>
        </w:trPr>
        <w:tc>
          <w:tcPr>
            <w:tcW w:w="9107" w:type="dxa"/>
            <w:vAlign w:val="center"/>
          </w:tcPr>
          <w:p w14:paraId="1CD6A3A6">
            <w:pPr>
              <w:widowControl/>
              <w:spacing w:line="420" w:lineRule="exact"/>
              <w:jc w:val="left"/>
              <w:rPr>
                <w:color w:val="auto"/>
                <w:kern w:val="0"/>
                <w:sz w:val="24"/>
                <w:szCs w:val="24"/>
                <w:highlight w:val="none"/>
              </w:rPr>
            </w:pPr>
            <w:r>
              <w:rPr>
                <w:rFonts w:hint="eastAsia"/>
                <w:color w:val="auto"/>
                <w:kern w:val="0"/>
                <w:sz w:val="24"/>
                <w:szCs w:val="24"/>
                <w:highlight w:val="none"/>
              </w:rPr>
              <w:t>招标文件领购结束时间：</w:t>
            </w:r>
            <w:r>
              <w:rPr>
                <w:color w:val="auto"/>
                <w:kern w:val="0"/>
                <w:sz w:val="24"/>
                <w:szCs w:val="24"/>
                <w:highlight w:val="none"/>
              </w:rPr>
              <w:t>202</w:t>
            </w:r>
            <w:r>
              <w:rPr>
                <w:rFonts w:hint="eastAsia"/>
                <w:color w:val="auto"/>
                <w:kern w:val="0"/>
                <w:sz w:val="24"/>
                <w:szCs w:val="24"/>
                <w:highlight w:val="none"/>
                <w:lang w:val="en-US" w:eastAsia="zh-CN"/>
              </w:rPr>
              <w:t>5</w:t>
            </w:r>
            <w:r>
              <w:rPr>
                <w:rFonts w:hint="eastAsia"/>
                <w:color w:val="auto"/>
                <w:kern w:val="0"/>
                <w:sz w:val="24"/>
                <w:szCs w:val="24"/>
                <w:highlight w:val="none"/>
              </w:rPr>
              <w:t>年</w:t>
            </w:r>
            <w:r>
              <w:rPr>
                <w:rFonts w:hint="eastAsia"/>
                <w:color w:val="auto"/>
                <w:kern w:val="0"/>
                <w:sz w:val="24"/>
                <w:szCs w:val="24"/>
                <w:highlight w:val="none"/>
                <w:lang w:val="en-US" w:eastAsia="zh-CN"/>
              </w:rPr>
              <w:t>11</w:t>
            </w:r>
            <w:r>
              <w:rPr>
                <w:rFonts w:hint="eastAsia"/>
                <w:color w:val="auto"/>
                <w:kern w:val="0"/>
                <w:sz w:val="24"/>
                <w:szCs w:val="24"/>
                <w:highlight w:val="none"/>
              </w:rPr>
              <w:t>月</w:t>
            </w:r>
            <w:r>
              <w:rPr>
                <w:rFonts w:hint="eastAsia"/>
                <w:color w:val="auto"/>
                <w:kern w:val="0"/>
                <w:sz w:val="24"/>
                <w:szCs w:val="24"/>
                <w:highlight w:val="none"/>
                <w:lang w:val="en-US" w:eastAsia="zh-CN"/>
              </w:rPr>
              <w:t>17</w:t>
            </w:r>
            <w:r>
              <w:rPr>
                <w:rFonts w:hint="eastAsia"/>
                <w:color w:val="auto"/>
                <w:kern w:val="0"/>
                <w:sz w:val="24"/>
                <w:szCs w:val="24"/>
                <w:highlight w:val="none"/>
              </w:rPr>
              <w:t>日</w:t>
            </w:r>
          </w:p>
          <w:p w14:paraId="7150EB12">
            <w:pPr>
              <w:widowControl/>
              <w:spacing w:line="420" w:lineRule="exact"/>
              <w:jc w:val="left"/>
              <w:rPr>
                <w:color w:val="auto"/>
                <w:kern w:val="0"/>
                <w:sz w:val="24"/>
                <w:szCs w:val="24"/>
                <w:highlight w:val="none"/>
              </w:rPr>
            </w:pPr>
            <w:r>
              <w:rPr>
                <w:rFonts w:hint="eastAsia"/>
                <w:color w:val="auto"/>
                <w:kern w:val="0"/>
                <w:sz w:val="24"/>
                <w:szCs w:val="24"/>
                <w:highlight w:val="none"/>
              </w:rPr>
              <w:t>是否在线售卖标书：否</w:t>
            </w:r>
          </w:p>
          <w:p w14:paraId="48571497">
            <w:pPr>
              <w:widowControl/>
              <w:spacing w:line="420" w:lineRule="exact"/>
              <w:jc w:val="left"/>
              <w:rPr>
                <w:color w:val="auto"/>
                <w:kern w:val="0"/>
                <w:sz w:val="24"/>
                <w:szCs w:val="24"/>
                <w:highlight w:val="none"/>
              </w:rPr>
            </w:pPr>
            <w:r>
              <w:rPr>
                <w:rFonts w:hint="eastAsia"/>
                <w:color w:val="auto"/>
                <w:kern w:val="0"/>
                <w:sz w:val="24"/>
                <w:szCs w:val="24"/>
                <w:highlight w:val="none"/>
              </w:rPr>
              <w:t>获取招标文件方式：线上购买</w:t>
            </w:r>
          </w:p>
          <w:p w14:paraId="4FBDB2DB">
            <w:pPr>
              <w:widowControl/>
              <w:spacing w:line="420" w:lineRule="exact"/>
              <w:jc w:val="left"/>
              <w:rPr>
                <w:color w:val="auto"/>
                <w:kern w:val="0"/>
                <w:sz w:val="24"/>
                <w:szCs w:val="24"/>
                <w:highlight w:val="none"/>
              </w:rPr>
            </w:pPr>
            <w:r>
              <w:rPr>
                <w:rFonts w:hint="eastAsia"/>
                <w:color w:val="auto"/>
                <w:kern w:val="0"/>
                <w:sz w:val="24"/>
                <w:szCs w:val="24"/>
                <w:highlight w:val="none"/>
              </w:rPr>
              <w:t>招标文件领购地点：投标人登录“江苏海外电子招投标平台”</w:t>
            </w:r>
            <w:r>
              <w:rPr>
                <w:color w:val="auto"/>
                <w:kern w:val="0"/>
                <w:sz w:val="24"/>
                <w:szCs w:val="24"/>
                <w:highlight w:val="none"/>
              </w:rPr>
              <w:t xml:space="preserve"> </w:t>
            </w:r>
            <w:r>
              <w:rPr>
                <w:rFonts w:hint="eastAsia"/>
                <w:color w:val="auto"/>
                <w:kern w:val="0"/>
                <w:sz w:val="24"/>
                <w:szCs w:val="24"/>
                <w:highlight w:val="none"/>
              </w:rPr>
              <w:t>（网址：https://www.joccon.cn）购买并下载招标文件。</w:t>
            </w:r>
          </w:p>
          <w:p w14:paraId="3B8358C5">
            <w:pPr>
              <w:widowControl/>
              <w:spacing w:line="420" w:lineRule="exact"/>
              <w:jc w:val="left"/>
              <w:rPr>
                <w:color w:val="auto"/>
                <w:kern w:val="0"/>
                <w:sz w:val="24"/>
                <w:szCs w:val="24"/>
                <w:highlight w:val="none"/>
              </w:rPr>
            </w:pPr>
            <w:r>
              <w:rPr>
                <w:rFonts w:hint="eastAsia" w:ascii="宋体" w:hAnsi="宋体"/>
                <w:color w:val="auto"/>
                <w:sz w:val="24"/>
                <w:szCs w:val="24"/>
                <w:highlight w:val="none"/>
              </w:rPr>
              <w:t>招标文件售价</w:t>
            </w:r>
            <w:r>
              <w:rPr>
                <w:rFonts w:ascii="宋体" w:hAnsi="宋体"/>
                <w:color w:val="auto"/>
                <w:sz w:val="24"/>
                <w:szCs w:val="24"/>
                <w:highlight w:val="none"/>
              </w:rPr>
              <w:t>(人民币)：1000元/包。</w:t>
            </w:r>
          </w:p>
        </w:tc>
      </w:tr>
      <w:tr w14:paraId="737B68D1">
        <w:tblPrEx>
          <w:tblCellMar>
            <w:top w:w="15" w:type="dxa"/>
            <w:left w:w="15" w:type="dxa"/>
            <w:bottom w:w="15" w:type="dxa"/>
            <w:right w:w="15" w:type="dxa"/>
          </w:tblCellMar>
        </w:tblPrEx>
        <w:trPr>
          <w:tblCellSpacing w:w="15" w:type="dxa"/>
        </w:trPr>
        <w:tc>
          <w:tcPr>
            <w:tcW w:w="9107" w:type="dxa"/>
            <w:vAlign w:val="center"/>
          </w:tcPr>
          <w:p w14:paraId="1D79850B">
            <w:pPr>
              <w:spacing w:line="360" w:lineRule="auto"/>
              <w:rPr>
                <w:rFonts w:ascii="宋体" w:hAnsi="宋体"/>
                <w:color w:val="auto"/>
                <w:sz w:val="24"/>
                <w:szCs w:val="24"/>
                <w:highlight w:val="none"/>
              </w:rPr>
            </w:pPr>
            <w:r>
              <w:rPr>
                <w:rFonts w:hint="eastAsia"/>
                <w:color w:val="auto"/>
                <w:kern w:val="0"/>
                <w:sz w:val="24"/>
                <w:szCs w:val="24"/>
                <w:highlight w:val="none"/>
              </w:rPr>
              <w:t>其他说明：</w:t>
            </w:r>
          </w:p>
          <w:p w14:paraId="797E24AC">
            <w:pPr>
              <w:spacing w:line="360" w:lineRule="auto"/>
              <w:rPr>
                <w:rFonts w:ascii="宋体" w:hAnsi="宋体"/>
                <w:color w:val="auto"/>
                <w:sz w:val="24"/>
                <w:szCs w:val="24"/>
                <w:highlight w:val="none"/>
              </w:rPr>
            </w:pPr>
            <w:r>
              <w:rPr>
                <w:rFonts w:hint="eastAsia" w:ascii="宋体" w:hAnsi="宋体"/>
                <w:color w:val="auto"/>
                <w:sz w:val="24"/>
                <w:szCs w:val="24"/>
                <w:highlight w:val="none"/>
              </w:rPr>
              <w:t>1、凡有意参加投标者，请登陆https://www.joccon.cn进行注册、登录后方可下载电子招标文件；投标单位可免费进行注册，注册为一次性工作，企业相关信息有调整的，请及时完善。</w:t>
            </w:r>
          </w:p>
          <w:p w14:paraId="7751D2D1">
            <w:pPr>
              <w:spacing w:line="360" w:lineRule="auto"/>
              <w:rPr>
                <w:rFonts w:ascii="宋体" w:hAnsi="宋体"/>
                <w:color w:val="auto"/>
                <w:sz w:val="24"/>
                <w:szCs w:val="24"/>
                <w:highlight w:val="none"/>
              </w:rPr>
            </w:pPr>
            <w:r>
              <w:rPr>
                <w:rFonts w:hint="eastAsia" w:ascii="宋体" w:hAnsi="宋体"/>
                <w:color w:val="auto"/>
                <w:sz w:val="24"/>
                <w:szCs w:val="24"/>
                <w:highlight w:val="none"/>
              </w:rPr>
              <w:t>2、投标单位请务必至少在文件发售截止时间半个工作日前登录平台、完成操作，否则将无法保证获取电子招标文件。</w:t>
            </w:r>
          </w:p>
          <w:p w14:paraId="19119157">
            <w:pPr>
              <w:spacing w:line="360" w:lineRule="auto"/>
              <w:rPr>
                <w:rFonts w:ascii="宋体" w:hAnsi="宋体"/>
                <w:color w:val="auto"/>
                <w:sz w:val="24"/>
                <w:szCs w:val="24"/>
                <w:highlight w:val="none"/>
              </w:rPr>
            </w:pPr>
            <w:r>
              <w:rPr>
                <w:rFonts w:hint="eastAsia" w:ascii="宋体" w:hAnsi="宋体"/>
                <w:color w:val="auto"/>
                <w:sz w:val="24"/>
                <w:szCs w:val="24"/>
                <w:highlight w:val="none"/>
              </w:rPr>
              <w:t>3、招标文件每套售价1000元/</w:t>
            </w:r>
            <w:r>
              <w:rPr>
                <w:rFonts w:ascii="宋体" w:hAnsi="宋体"/>
                <w:color w:val="auto"/>
                <w:sz w:val="24"/>
                <w:szCs w:val="24"/>
                <w:highlight w:val="none"/>
              </w:rPr>
              <w:t>包</w:t>
            </w:r>
            <w:r>
              <w:rPr>
                <w:rFonts w:hint="eastAsia" w:ascii="宋体" w:hAnsi="宋体"/>
                <w:color w:val="auto"/>
                <w:sz w:val="24"/>
                <w:szCs w:val="24"/>
                <w:highlight w:val="none"/>
              </w:rPr>
              <w:t xml:space="preserve">，平台服务费200元/标段，售后不退。需要发票的，可通过平台下载发票，未在招标文件发售期间获取招标文件的单位，招标人拒绝接受其投标文件。 </w:t>
            </w:r>
          </w:p>
          <w:p w14:paraId="7E7BEE8C">
            <w:pPr>
              <w:spacing w:line="360" w:lineRule="auto"/>
              <w:rPr>
                <w:rFonts w:ascii="宋体" w:hAnsi="宋体"/>
                <w:b/>
                <w:bCs/>
                <w:color w:val="auto"/>
                <w:sz w:val="24"/>
                <w:szCs w:val="24"/>
                <w:highlight w:val="none"/>
              </w:rPr>
            </w:pPr>
            <w:r>
              <w:rPr>
                <w:rFonts w:hint="eastAsia" w:ascii="宋体" w:hAnsi="宋体"/>
                <w:color w:val="auto"/>
                <w:sz w:val="24"/>
                <w:szCs w:val="24"/>
                <w:highlight w:val="none"/>
              </w:rPr>
              <w:t>4、平台技术支持电话：15378779131。</w:t>
            </w:r>
          </w:p>
        </w:tc>
      </w:tr>
      <w:tr w14:paraId="6CEA8268">
        <w:tblPrEx>
          <w:tblCellMar>
            <w:top w:w="15" w:type="dxa"/>
            <w:left w:w="15" w:type="dxa"/>
            <w:bottom w:w="15" w:type="dxa"/>
            <w:right w:w="15" w:type="dxa"/>
          </w:tblCellMar>
        </w:tblPrEx>
        <w:trPr>
          <w:tblCellSpacing w:w="15" w:type="dxa"/>
        </w:trPr>
        <w:tc>
          <w:tcPr>
            <w:tcW w:w="9107" w:type="dxa"/>
            <w:vAlign w:val="center"/>
          </w:tcPr>
          <w:p w14:paraId="607112C9">
            <w:pPr>
              <w:widowControl/>
              <w:spacing w:line="420" w:lineRule="exact"/>
              <w:jc w:val="left"/>
              <w:rPr>
                <w:color w:val="auto"/>
                <w:kern w:val="0"/>
                <w:sz w:val="24"/>
                <w:szCs w:val="24"/>
                <w:highlight w:val="none"/>
              </w:rPr>
            </w:pPr>
            <w:r>
              <w:rPr>
                <w:rFonts w:hint="eastAsia"/>
                <w:b/>
                <w:bCs/>
                <w:color w:val="auto"/>
                <w:kern w:val="0"/>
                <w:sz w:val="24"/>
                <w:szCs w:val="24"/>
                <w:highlight w:val="none"/>
              </w:rPr>
              <w:t>5、投标文件的递交</w:t>
            </w:r>
          </w:p>
        </w:tc>
      </w:tr>
      <w:tr w14:paraId="550F3C43">
        <w:tblPrEx>
          <w:tblCellMar>
            <w:top w:w="15" w:type="dxa"/>
            <w:left w:w="15" w:type="dxa"/>
            <w:bottom w:w="15" w:type="dxa"/>
            <w:right w:w="15" w:type="dxa"/>
          </w:tblCellMar>
        </w:tblPrEx>
        <w:trPr>
          <w:tblCellSpacing w:w="15" w:type="dxa"/>
        </w:trPr>
        <w:tc>
          <w:tcPr>
            <w:tcW w:w="9107" w:type="dxa"/>
            <w:vAlign w:val="center"/>
          </w:tcPr>
          <w:p w14:paraId="7B99C45E">
            <w:pPr>
              <w:widowControl/>
              <w:spacing w:line="420" w:lineRule="exact"/>
              <w:jc w:val="left"/>
              <w:rPr>
                <w:color w:val="auto"/>
                <w:kern w:val="0"/>
                <w:sz w:val="24"/>
                <w:szCs w:val="24"/>
                <w:highlight w:val="none"/>
              </w:rPr>
            </w:pPr>
            <w:r>
              <w:rPr>
                <w:rFonts w:hint="eastAsia"/>
                <w:color w:val="auto"/>
                <w:kern w:val="0"/>
                <w:sz w:val="24"/>
                <w:szCs w:val="24"/>
                <w:highlight w:val="none"/>
              </w:rPr>
              <w:t>投标截止时间（开标时间）：</w:t>
            </w:r>
            <w:r>
              <w:rPr>
                <w:rFonts w:hint="eastAsia"/>
                <w:color w:val="auto"/>
                <w:kern w:val="0"/>
                <w:sz w:val="24"/>
                <w:szCs w:val="24"/>
                <w:highlight w:val="none"/>
                <w:lang w:eastAsia="zh-CN"/>
              </w:rPr>
              <w:t>2025</w:t>
            </w:r>
            <w:bookmarkStart w:id="6" w:name="_GoBack"/>
            <w:bookmarkEnd w:id="6"/>
            <w:r>
              <w:rPr>
                <w:rFonts w:hint="eastAsia"/>
                <w:color w:val="auto"/>
                <w:kern w:val="0"/>
                <w:sz w:val="24"/>
                <w:szCs w:val="24"/>
                <w:highlight w:val="none"/>
                <w:lang w:eastAsia="zh-CN"/>
              </w:rPr>
              <w:t>年12月5日</w:t>
            </w:r>
            <w:r>
              <w:rPr>
                <w:rFonts w:hint="eastAsia"/>
                <w:color w:val="auto"/>
                <w:kern w:val="0"/>
                <w:sz w:val="24"/>
                <w:szCs w:val="24"/>
                <w:highlight w:val="none"/>
              </w:rPr>
              <w:t>上午</w:t>
            </w:r>
            <w:r>
              <w:rPr>
                <w:color w:val="auto"/>
                <w:kern w:val="0"/>
                <w:sz w:val="24"/>
                <w:szCs w:val="24"/>
                <w:highlight w:val="none"/>
              </w:rPr>
              <w:t>10:00</w:t>
            </w:r>
          </w:p>
        </w:tc>
      </w:tr>
      <w:tr w14:paraId="282D7BF7">
        <w:tblPrEx>
          <w:tblCellMar>
            <w:top w:w="15" w:type="dxa"/>
            <w:left w:w="15" w:type="dxa"/>
            <w:bottom w:w="15" w:type="dxa"/>
            <w:right w:w="15" w:type="dxa"/>
          </w:tblCellMar>
        </w:tblPrEx>
        <w:trPr>
          <w:tblCellSpacing w:w="15" w:type="dxa"/>
        </w:trPr>
        <w:tc>
          <w:tcPr>
            <w:tcW w:w="9107" w:type="dxa"/>
            <w:vAlign w:val="center"/>
          </w:tcPr>
          <w:p w14:paraId="4487C8C1">
            <w:pPr>
              <w:widowControl/>
              <w:spacing w:line="420" w:lineRule="exact"/>
              <w:jc w:val="left"/>
              <w:rPr>
                <w:color w:val="auto"/>
                <w:kern w:val="0"/>
                <w:sz w:val="24"/>
                <w:szCs w:val="24"/>
                <w:highlight w:val="none"/>
              </w:rPr>
            </w:pPr>
            <w:r>
              <w:rPr>
                <w:rFonts w:hint="eastAsia"/>
                <w:color w:val="auto"/>
                <w:kern w:val="0"/>
                <w:sz w:val="24"/>
                <w:szCs w:val="24"/>
                <w:highlight w:val="none"/>
              </w:rPr>
              <w:t>投标文件送达地点：南京市建邺区云龙山路56号大唐科技大厦A座高区14楼开标一厅</w:t>
            </w:r>
          </w:p>
        </w:tc>
      </w:tr>
      <w:tr w14:paraId="46285F02">
        <w:tblPrEx>
          <w:tblCellMar>
            <w:top w:w="15" w:type="dxa"/>
            <w:left w:w="15" w:type="dxa"/>
            <w:bottom w:w="15" w:type="dxa"/>
            <w:right w:w="15" w:type="dxa"/>
          </w:tblCellMar>
        </w:tblPrEx>
        <w:trPr>
          <w:tblCellSpacing w:w="15" w:type="dxa"/>
        </w:trPr>
        <w:tc>
          <w:tcPr>
            <w:tcW w:w="9107" w:type="dxa"/>
            <w:vAlign w:val="center"/>
          </w:tcPr>
          <w:p w14:paraId="73F98320">
            <w:pPr>
              <w:widowControl/>
              <w:spacing w:line="420" w:lineRule="exact"/>
              <w:jc w:val="left"/>
              <w:rPr>
                <w:color w:val="auto"/>
                <w:kern w:val="0"/>
                <w:sz w:val="24"/>
                <w:szCs w:val="24"/>
                <w:highlight w:val="none"/>
              </w:rPr>
            </w:pPr>
            <w:r>
              <w:rPr>
                <w:rFonts w:hint="eastAsia"/>
                <w:color w:val="auto"/>
                <w:kern w:val="0"/>
                <w:sz w:val="24"/>
                <w:szCs w:val="24"/>
                <w:highlight w:val="none"/>
              </w:rPr>
              <w:t>开标地点：南京市建邺区云龙山路56号大唐科技大厦A座高区14楼开标一厅</w:t>
            </w:r>
          </w:p>
        </w:tc>
      </w:tr>
      <w:tr w14:paraId="24A590E8">
        <w:tblPrEx>
          <w:tblCellMar>
            <w:top w:w="15" w:type="dxa"/>
            <w:left w:w="15" w:type="dxa"/>
            <w:bottom w:w="15" w:type="dxa"/>
            <w:right w:w="15" w:type="dxa"/>
          </w:tblCellMar>
        </w:tblPrEx>
        <w:trPr>
          <w:tblCellSpacing w:w="15" w:type="dxa"/>
        </w:trPr>
        <w:tc>
          <w:tcPr>
            <w:tcW w:w="9107" w:type="dxa"/>
            <w:vAlign w:val="center"/>
          </w:tcPr>
          <w:p w14:paraId="15D19749">
            <w:pPr>
              <w:widowControl/>
              <w:spacing w:line="420" w:lineRule="exact"/>
              <w:jc w:val="left"/>
              <w:rPr>
                <w:color w:val="auto"/>
                <w:kern w:val="0"/>
                <w:sz w:val="24"/>
                <w:szCs w:val="24"/>
                <w:highlight w:val="none"/>
              </w:rPr>
            </w:pPr>
            <w:r>
              <w:rPr>
                <w:b/>
                <w:bCs/>
                <w:color w:val="auto"/>
                <w:kern w:val="0"/>
                <w:sz w:val="24"/>
                <w:szCs w:val="24"/>
                <w:highlight w:val="none"/>
              </w:rPr>
              <w:t>6</w:t>
            </w:r>
            <w:r>
              <w:rPr>
                <w:rFonts w:asciiTheme="minorEastAsia" w:hAnsiTheme="minorEastAsia" w:eastAsiaTheme="minorEastAsia"/>
                <w:b/>
                <w:bCs/>
                <w:color w:val="auto"/>
                <w:kern w:val="0"/>
                <w:sz w:val="24"/>
                <w:szCs w:val="24"/>
                <w:highlight w:val="none"/>
              </w:rPr>
              <w:t>、投标人在投标前</w:t>
            </w:r>
            <w:r>
              <w:rPr>
                <w:rFonts w:hint="eastAsia" w:asciiTheme="minorEastAsia" w:hAnsiTheme="minorEastAsia" w:eastAsiaTheme="minorEastAsia"/>
                <w:b/>
                <w:bCs/>
                <w:color w:val="auto"/>
                <w:kern w:val="0"/>
                <w:sz w:val="24"/>
                <w:szCs w:val="24"/>
                <w:highlight w:val="none"/>
              </w:rPr>
              <w:t>应在必联网</w:t>
            </w:r>
            <w:r>
              <w:rPr>
                <w:b/>
                <w:bCs/>
                <w:color w:val="auto"/>
                <w:kern w:val="0"/>
                <w:sz w:val="24"/>
                <w:szCs w:val="24"/>
                <w:highlight w:val="none"/>
              </w:rPr>
              <w:t>(</w:t>
            </w:r>
            <w:r>
              <w:rPr>
                <w:color w:val="auto"/>
                <w:highlight w:val="none"/>
              </w:rPr>
              <w:fldChar w:fldCharType="begin"/>
            </w:r>
            <w:r>
              <w:rPr>
                <w:color w:val="auto"/>
                <w:highlight w:val="none"/>
              </w:rPr>
              <w:instrText xml:space="preserve"> HYPERLINK "http://www.ebnew.com" </w:instrText>
            </w:r>
            <w:r>
              <w:rPr>
                <w:color w:val="auto"/>
                <w:highlight w:val="none"/>
              </w:rPr>
              <w:fldChar w:fldCharType="separate"/>
            </w:r>
            <w:r>
              <w:rPr>
                <w:b/>
                <w:bCs/>
                <w:color w:val="auto"/>
                <w:kern w:val="0"/>
                <w:sz w:val="24"/>
                <w:szCs w:val="24"/>
                <w:highlight w:val="none"/>
              </w:rPr>
              <w:t>http://www.ebnew.com</w:t>
            </w:r>
            <w:r>
              <w:rPr>
                <w:b/>
                <w:bCs/>
                <w:color w:val="auto"/>
                <w:kern w:val="0"/>
                <w:sz w:val="24"/>
                <w:szCs w:val="24"/>
                <w:highlight w:val="none"/>
              </w:rPr>
              <w:fldChar w:fldCharType="end"/>
            </w:r>
            <w:r>
              <w:rPr>
                <w:rFonts w:hint="eastAsia"/>
                <w:b/>
                <w:bCs/>
                <w:color w:val="auto"/>
                <w:kern w:val="0"/>
                <w:sz w:val="24"/>
                <w:szCs w:val="24"/>
                <w:highlight w:val="none"/>
              </w:rPr>
              <w:t>)或</w:t>
            </w:r>
            <w:r>
              <w:rPr>
                <w:rFonts w:hint="eastAsia" w:asciiTheme="minorEastAsia" w:hAnsiTheme="minorEastAsia" w:eastAsiaTheme="minorEastAsia"/>
                <w:b/>
                <w:bCs/>
                <w:color w:val="auto"/>
                <w:kern w:val="0"/>
                <w:sz w:val="24"/>
                <w:szCs w:val="24"/>
                <w:highlight w:val="none"/>
              </w:rPr>
              <w:t>机电产品招标投标电子交易平台（</w:t>
            </w:r>
            <w:r>
              <w:rPr>
                <w:rFonts w:asciiTheme="minorEastAsia" w:hAnsiTheme="minorEastAsia" w:eastAsiaTheme="minorEastAsia"/>
                <w:b/>
                <w:bCs/>
                <w:color w:val="auto"/>
                <w:kern w:val="0"/>
                <w:sz w:val="24"/>
                <w:szCs w:val="24"/>
                <w:highlight w:val="none"/>
              </w:rPr>
              <w:t>http://www.chinabidding.com）</w:t>
            </w:r>
            <w:r>
              <w:rPr>
                <w:rFonts w:hint="eastAsia"/>
                <w:b/>
                <w:bCs/>
                <w:color w:val="auto"/>
                <w:kern w:val="0"/>
                <w:sz w:val="24"/>
                <w:szCs w:val="24"/>
                <w:highlight w:val="none"/>
              </w:rPr>
              <w:t>完成注册及信息核验。评标结果将在必联网和中国国际招标网公示。</w:t>
            </w:r>
          </w:p>
        </w:tc>
      </w:tr>
      <w:tr w14:paraId="798561F4">
        <w:tblPrEx>
          <w:tblCellMar>
            <w:top w:w="15" w:type="dxa"/>
            <w:left w:w="15" w:type="dxa"/>
            <w:bottom w:w="15" w:type="dxa"/>
            <w:right w:w="15" w:type="dxa"/>
          </w:tblCellMar>
        </w:tblPrEx>
        <w:trPr>
          <w:tblCellSpacing w:w="15" w:type="dxa"/>
        </w:trPr>
        <w:tc>
          <w:tcPr>
            <w:tcW w:w="9107" w:type="dxa"/>
            <w:vAlign w:val="center"/>
          </w:tcPr>
          <w:p w14:paraId="7EB4CF65">
            <w:pPr>
              <w:widowControl/>
              <w:spacing w:line="420" w:lineRule="exact"/>
              <w:jc w:val="left"/>
              <w:rPr>
                <w:color w:val="auto"/>
                <w:kern w:val="0"/>
                <w:sz w:val="24"/>
                <w:szCs w:val="24"/>
                <w:highlight w:val="none"/>
              </w:rPr>
            </w:pPr>
            <w:r>
              <w:rPr>
                <w:rFonts w:hint="eastAsia"/>
                <w:b/>
                <w:bCs/>
                <w:color w:val="auto"/>
                <w:kern w:val="0"/>
                <w:sz w:val="24"/>
                <w:szCs w:val="24"/>
                <w:highlight w:val="none"/>
              </w:rPr>
              <w:t>7、联系方式</w:t>
            </w:r>
          </w:p>
        </w:tc>
      </w:tr>
      <w:tr w14:paraId="1912A726">
        <w:tblPrEx>
          <w:tblCellMar>
            <w:top w:w="15" w:type="dxa"/>
            <w:left w:w="15" w:type="dxa"/>
            <w:bottom w:w="15" w:type="dxa"/>
            <w:right w:w="15" w:type="dxa"/>
          </w:tblCellMar>
        </w:tblPrEx>
        <w:trPr>
          <w:tblCellSpacing w:w="15" w:type="dxa"/>
        </w:trPr>
        <w:tc>
          <w:tcPr>
            <w:tcW w:w="9107" w:type="dxa"/>
            <w:vAlign w:val="center"/>
          </w:tcPr>
          <w:p w14:paraId="0D0BCF0C">
            <w:pPr>
              <w:widowControl/>
              <w:spacing w:line="420" w:lineRule="exact"/>
              <w:jc w:val="left"/>
              <w:rPr>
                <w:rFonts w:hint="eastAsia" w:eastAsia="宋体"/>
                <w:color w:val="auto"/>
                <w:kern w:val="0"/>
                <w:sz w:val="24"/>
                <w:szCs w:val="24"/>
                <w:highlight w:val="none"/>
                <w:lang w:eastAsia="zh-CN"/>
              </w:rPr>
            </w:pPr>
            <w:r>
              <w:rPr>
                <w:rFonts w:hint="eastAsia"/>
                <w:color w:val="auto"/>
                <w:kern w:val="0"/>
                <w:sz w:val="24"/>
                <w:szCs w:val="24"/>
                <w:highlight w:val="none"/>
              </w:rPr>
              <w:t>招标人：</w:t>
            </w:r>
            <w:r>
              <w:rPr>
                <w:rFonts w:hint="eastAsia"/>
                <w:color w:val="auto"/>
                <w:kern w:val="0"/>
                <w:sz w:val="24"/>
                <w:szCs w:val="24"/>
                <w:highlight w:val="none"/>
                <w:lang w:eastAsia="zh-CN"/>
              </w:rPr>
              <w:t>宁波威孚天力增压技术股份有限公司</w:t>
            </w:r>
          </w:p>
        </w:tc>
      </w:tr>
      <w:tr w14:paraId="3C4C6DF4">
        <w:tblPrEx>
          <w:tblCellMar>
            <w:top w:w="15" w:type="dxa"/>
            <w:left w:w="15" w:type="dxa"/>
            <w:bottom w:w="15" w:type="dxa"/>
            <w:right w:w="15" w:type="dxa"/>
          </w:tblCellMar>
        </w:tblPrEx>
        <w:trPr>
          <w:tblCellSpacing w:w="15" w:type="dxa"/>
        </w:trPr>
        <w:tc>
          <w:tcPr>
            <w:tcW w:w="9107" w:type="dxa"/>
            <w:vAlign w:val="center"/>
          </w:tcPr>
          <w:p w14:paraId="7BA32196">
            <w:pPr>
              <w:widowControl/>
              <w:spacing w:line="420" w:lineRule="exact"/>
              <w:jc w:val="left"/>
              <w:rPr>
                <w:rFonts w:hint="eastAsia" w:eastAsia="宋体"/>
                <w:color w:val="auto"/>
                <w:kern w:val="0"/>
                <w:sz w:val="24"/>
                <w:szCs w:val="24"/>
                <w:highlight w:val="none"/>
                <w:lang w:eastAsia="zh-CN"/>
              </w:rPr>
            </w:pPr>
            <w:r>
              <w:rPr>
                <w:rFonts w:hint="eastAsia"/>
                <w:color w:val="auto"/>
                <w:kern w:val="0"/>
                <w:sz w:val="24"/>
                <w:szCs w:val="24"/>
                <w:highlight w:val="none"/>
              </w:rPr>
              <w:t>地址：</w:t>
            </w:r>
            <w:r>
              <w:rPr>
                <w:rFonts w:hint="eastAsia"/>
                <w:color w:val="auto"/>
                <w:kern w:val="0"/>
                <w:sz w:val="24"/>
                <w:szCs w:val="24"/>
                <w:highlight w:val="none"/>
                <w:lang w:eastAsia="zh-CN"/>
              </w:rPr>
              <w:t>宁波市江北区慈城镇畅阳路268号</w:t>
            </w:r>
          </w:p>
        </w:tc>
      </w:tr>
      <w:tr w14:paraId="6A4C0BB7">
        <w:tblPrEx>
          <w:tblCellMar>
            <w:top w:w="15" w:type="dxa"/>
            <w:left w:w="15" w:type="dxa"/>
            <w:bottom w:w="15" w:type="dxa"/>
            <w:right w:w="15" w:type="dxa"/>
          </w:tblCellMar>
        </w:tblPrEx>
        <w:trPr>
          <w:tblCellSpacing w:w="15" w:type="dxa"/>
        </w:trPr>
        <w:tc>
          <w:tcPr>
            <w:tcW w:w="9107" w:type="dxa"/>
            <w:vAlign w:val="center"/>
          </w:tcPr>
          <w:p w14:paraId="5B230A39">
            <w:pPr>
              <w:widowControl/>
              <w:spacing w:line="420" w:lineRule="exact"/>
              <w:jc w:val="left"/>
              <w:rPr>
                <w:rFonts w:hint="eastAsia" w:eastAsia="宋体"/>
                <w:color w:val="auto"/>
                <w:kern w:val="0"/>
                <w:sz w:val="24"/>
                <w:szCs w:val="24"/>
                <w:highlight w:val="none"/>
                <w:lang w:eastAsia="zh-CN"/>
              </w:rPr>
            </w:pPr>
            <w:r>
              <w:rPr>
                <w:rFonts w:hint="eastAsia"/>
                <w:color w:val="auto"/>
                <w:kern w:val="0"/>
                <w:sz w:val="24"/>
                <w:szCs w:val="24"/>
                <w:highlight w:val="none"/>
              </w:rPr>
              <w:t>联系人：</w:t>
            </w:r>
            <w:r>
              <w:rPr>
                <w:rFonts w:hint="eastAsia"/>
                <w:color w:val="auto"/>
                <w:kern w:val="0"/>
                <w:sz w:val="24"/>
                <w:szCs w:val="24"/>
                <w:highlight w:val="none"/>
                <w:lang w:eastAsia="zh-CN"/>
              </w:rPr>
              <w:t>窦经理</w:t>
            </w:r>
          </w:p>
        </w:tc>
      </w:tr>
      <w:tr w14:paraId="43C99740">
        <w:tblPrEx>
          <w:tblCellMar>
            <w:top w:w="15" w:type="dxa"/>
            <w:left w:w="15" w:type="dxa"/>
            <w:bottom w:w="15" w:type="dxa"/>
            <w:right w:w="15" w:type="dxa"/>
          </w:tblCellMar>
        </w:tblPrEx>
        <w:trPr>
          <w:tblCellSpacing w:w="15" w:type="dxa"/>
        </w:trPr>
        <w:tc>
          <w:tcPr>
            <w:tcW w:w="9107" w:type="dxa"/>
            <w:vAlign w:val="center"/>
          </w:tcPr>
          <w:p w14:paraId="026A519D">
            <w:pPr>
              <w:widowControl/>
              <w:spacing w:line="420" w:lineRule="exact"/>
              <w:jc w:val="left"/>
              <w:rPr>
                <w:rFonts w:hint="eastAsia" w:eastAsia="宋体"/>
                <w:color w:val="auto"/>
                <w:kern w:val="0"/>
                <w:sz w:val="24"/>
                <w:szCs w:val="24"/>
                <w:highlight w:val="none"/>
                <w:lang w:eastAsia="zh-CN"/>
              </w:rPr>
            </w:pPr>
            <w:r>
              <w:rPr>
                <w:rFonts w:hint="eastAsia"/>
                <w:color w:val="auto"/>
                <w:kern w:val="0"/>
                <w:sz w:val="24"/>
                <w:szCs w:val="24"/>
                <w:highlight w:val="none"/>
              </w:rPr>
              <w:t>联系方式</w:t>
            </w:r>
            <w:r>
              <w:rPr>
                <w:color w:val="auto"/>
                <w:kern w:val="0"/>
                <w:sz w:val="24"/>
                <w:szCs w:val="24"/>
                <w:highlight w:val="none"/>
              </w:rPr>
              <w:t xml:space="preserve"> </w:t>
            </w:r>
            <w:r>
              <w:rPr>
                <w:rFonts w:hint="eastAsia"/>
                <w:color w:val="auto"/>
                <w:kern w:val="0"/>
                <w:sz w:val="24"/>
                <w:szCs w:val="24"/>
                <w:highlight w:val="none"/>
              </w:rPr>
              <w:t>：</w:t>
            </w:r>
            <w:r>
              <w:rPr>
                <w:rFonts w:hint="eastAsia"/>
                <w:color w:val="auto"/>
                <w:kern w:val="0"/>
                <w:sz w:val="24"/>
                <w:szCs w:val="24"/>
                <w:highlight w:val="none"/>
                <w:lang w:eastAsia="zh-CN"/>
              </w:rPr>
              <w:t>15921385430</w:t>
            </w:r>
          </w:p>
        </w:tc>
      </w:tr>
      <w:tr w14:paraId="7FE21E74">
        <w:tblPrEx>
          <w:tblCellMar>
            <w:top w:w="15" w:type="dxa"/>
            <w:left w:w="15" w:type="dxa"/>
            <w:bottom w:w="15" w:type="dxa"/>
            <w:right w:w="15" w:type="dxa"/>
          </w:tblCellMar>
        </w:tblPrEx>
        <w:trPr>
          <w:tblCellSpacing w:w="15" w:type="dxa"/>
        </w:trPr>
        <w:tc>
          <w:tcPr>
            <w:tcW w:w="9107" w:type="dxa"/>
            <w:vAlign w:val="center"/>
          </w:tcPr>
          <w:p w14:paraId="27BC5A54">
            <w:pPr>
              <w:widowControl/>
              <w:spacing w:line="420" w:lineRule="exact"/>
              <w:jc w:val="left"/>
              <w:rPr>
                <w:color w:val="auto"/>
                <w:kern w:val="0"/>
                <w:sz w:val="24"/>
                <w:szCs w:val="24"/>
                <w:highlight w:val="none"/>
              </w:rPr>
            </w:pPr>
            <w:r>
              <w:rPr>
                <w:rFonts w:hint="eastAsia"/>
                <w:color w:val="auto"/>
                <w:kern w:val="0"/>
                <w:sz w:val="24"/>
                <w:szCs w:val="24"/>
                <w:highlight w:val="none"/>
              </w:rPr>
              <w:t>招标代理机构：江苏海外集团国际工程咨询有限公司</w:t>
            </w:r>
          </w:p>
        </w:tc>
      </w:tr>
      <w:tr w14:paraId="34563329">
        <w:tblPrEx>
          <w:tblCellMar>
            <w:top w:w="15" w:type="dxa"/>
            <w:left w:w="15" w:type="dxa"/>
            <w:bottom w:w="15" w:type="dxa"/>
            <w:right w:w="15" w:type="dxa"/>
          </w:tblCellMar>
        </w:tblPrEx>
        <w:trPr>
          <w:tblCellSpacing w:w="15" w:type="dxa"/>
        </w:trPr>
        <w:tc>
          <w:tcPr>
            <w:tcW w:w="9107" w:type="dxa"/>
            <w:vAlign w:val="center"/>
          </w:tcPr>
          <w:p w14:paraId="20B75575">
            <w:pPr>
              <w:widowControl/>
              <w:spacing w:line="420" w:lineRule="exact"/>
              <w:jc w:val="left"/>
              <w:rPr>
                <w:color w:val="auto"/>
                <w:kern w:val="0"/>
                <w:sz w:val="24"/>
                <w:szCs w:val="24"/>
                <w:highlight w:val="none"/>
              </w:rPr>
            </w:pPr>
            <w:r>
              <w:rPr>
                <w:rFonts w:hint="eastAsia"/>
                <w:color w:val="auto"/>
                <w:kern w:val="0"/>
                <w:sz w:val="24"/>
                <w:szCs w:val="24"/>
                <w:highlight w:val="none"/>
              </w:rPr>
              <w:t>地址：</w:t>
            </w:r>
            <w:r>
              <w:rPr>
                <w:rFonts w:hAnsi="宋体"/>
                <w:color w:val="auto"/>
                <w:kern w:val="0"/>
                <w:sz w:val="24"/>
                <w:szCs w:val="24"/>
                <w:highlight w:val="none"/>
              </w:rPr>
              <w:t>南京市建邺区云龙山路56号大唐科技大厦A座高区15楼</w:t>
            </w:r>
            <w:r>
              <w:rPr>
                <w:rFonts w:hint="eastAsia" w:hAnsi="宋体"/>
                <w:color w:val="auto"/>
                <w:kern w:val="0"/>
                <w:sz w:val="24"/>
                <w:szCs w:val="24"/>
                <w:highlight w:val="none"/>
              </w:rPr>
              <w:t>业务三部</w:t>
            </w:r>
          </w:p>
        </w:tc>
      </w:tr>
      <w:tr w14:paraId="08860C97">
        <w:tblPrEx>
          <w:tblCellMar>
            <w:top w:w="15" w:type="dxa"/>
            <w:left w:w="15" w:type="dxa"/>
            <w:bottom w:w="15" w:type="dxa"/>
            <w:right w:w="15" w:type="dxa"/>
          </w:tblCellMar>
        </w:tblPrEx>
        <w:trPr>
          <w:tblCellSpacing w:w="15" w:type="dxa"/>
        </w:trPr>
        <w:tc>
          <w:tcPr>
            <w:tcW w:w="9107" w:type="dxa"/>
            <w:vAlign w:val="center"/>
          </w:tcPr>
          <w:p w14:paraId="69F57493">
            <w:pPr>
              <w:widowControl/>
              <w:spacing w:line="420" w:lineRule="exact"/>
              <w:jc w:val="left"/>
              <w:rPr>
                <w:color w:val="auto"/>
                <w:kern w:val="0"/>
                <w:sz w:val="24"/>
                <w:szCs w:val="24"/>
                <w:highlight w:val="none"/>
              </w:rPr>
            </w:pPr>
            <w:r>
              <w:rPr>
                <w:rFonts w:hint="eastAsia"/>
                <w:color w:val="auto"/>
                <w:kern w:val="0"/>
                <w:sz w:val="24"/>
                <w:szCs w:val="24"/>
                <w:highlight w:val="none"/>
              </w:rPr>
              <w:t>联系人：</w:t>
            </w:r>
            <w:r>
              <w:rPr>
                <w:rFonts w:hint="eastAsia"/>
                <w:color w:val="auto"/>
                <w:kern w:val="0"/>
                <w:sz w:val="24"/>
                <w:szCs w:val="24"/>
                <w:highlight w:val="none"/>
                <w:lang w:eastAsia="zh-CN"/>
              </w:rPr>
              <w:t>陈子峻</w:t>
            </w:r>
            <w:r>
              <w:rPr>
                <w:rFonts w:hint="eastAsia"/>
                <w:color w:val="auto"/>
                <w:kern w:val="0"/>
                <w:sz w:val="24"/>
                <w:szCs w:val="24"/>
                <w:highlight w:val="none"/>
              </w:rPr>
              <w:t>、杨思魁</w:t>
            </w:r>
          </w:p>
        </w:tc>
      </w:tr>
      <w:tr w14:paraId="323479AF">
        <w:tblPrEx>
          <w:tblCellMar>
            <w:top w:w="15" w:type="dxa"/>
            <w:left w:w="15" w:type="dxa"/>
            <w:bottom w:w="15" w:type="dxa"/>
            <w:right w:w="15" w:type="dxa"/>
          </w:tblCellMar>
        </w:tblPrEx>
        <w:trPr>
          <w:tblCellSpacing w:w="15" w:type="dxa"/>
        </w:trPr>
        <w:tc>
          <w:tcPr>
            <w:tcW w:w="9107" w:type="dxa"/>
            <w:vAlign w:val="center"/>
          </w:tcPr>
          <w:p w14:paraId="199DA086">
            <w:pPr>
              <w:widowControl/>
              <w:spacing w:line="420" w:lineRule="exact"/>
              <w:jc w:val="left"/>
              <w:rPr>
                <w:color w:val="auto"/>
                <w:kern w:val="0"/>
                <w:sz w:val="24"/>
                <w:szCs w:val="24"/>
                <w:highlight w:val="none"/>
              </w:rPr>
            </w:pPr>
            <w:r>
              <w:rPr>
                <w:rFonts w:hint="eastAsia"/>
                <w:color w:val="auto"/>
                <w:kern w:val="0"/>
                <w:sz w:val="24"/>
                <w:szCs w:val="24"/>
                <w:highlight w:val="none"/>
              </w:rPr>
              <w:t>联系方式</w:t>
            </w:r>
            <w:r>
              <w:rPr>
                <w:color w:val="auto"/>
                <w:kern w:val="0"/>
                <w:sz w:val="24"/>
                <w:szCs w:val="24"/>
                <w:highlight w:val="none"/>
              </w:rPr>
              <w:t xml:space="preserve"> </w:t>
            </w:r>
            <w:r>
              <w:rPr>
                <w:rFonts w:hint="eastAsia"/>
                <w:color w:val="auto"/>
                <w:kern w:val="0"/>
                <w:sz w:val="24"/>
                <w:szCs w:val="24"/>
                <w:highlight w:val="none"/>
              </w:rPr>
              <w:t>：025-84795470</w:t>
            </w:r>
          </w:p>
          <w:p w14:paraId="4F23F9D7">
            <w:pPr>
              <w:widowControl/>
              <w:spacing w:line="420" w:lineRule="exact"/>
              <w:jc w:val="left"/>
              <w:rPr>
                <w:color w:val="auto"/>
                <w:kern w:val="0"/>
                <w:sz w:val="24"/>
                <w:szCs w:val="24"/>
                <w:highlight w:val="none"/>
              </w:rPr>
            </w:pPr>
            <w:r>
              <w:rPr>
                <w:rFonts w:hint="eastAsia"/>
                <w:color w:val="auto"/>
                <w:kern w:val="0"/>
                <w:sz w:val="24"/>
                <w:szCs w:val="24"/>
                <w:highlight w:val="none"/>
              </w:rPr>
              <w:t>邮箱：yangsikui@jocite.com</w:t>
            </w:r>
          </w:p>
        </w:tc>
      </w:tr>
    </w:tbl>
    <w:p w14:paraId="222CFA7B">
      <w:pPr>
        <w:spacing w:line="360" w:lineRule="auto"/>
        <w:rPr>
          <w:rFonts w:asciiTheme="minorEastAsia" w:hAnsiTheme="minorEastAsia" w:eastAsiaTheme="minorEastAsia"/>
          <w:b/>
          <w:color w:val="auto"/>
          <w:sz w:val="36"/>
          <w:highlight w:val="none"/>
        </w:rPr>
      </w:pPr>
    </w:p>
    <w:p w14:paraId="3291F43C">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24537A70">
      <w:pPr>
        <w:spacing w:line="360" w:lineRule="auto"/>
        <w:jc w:val="center"/>
        <w:rPr>
          <w:rFonts w:ascii="黑体" w:hAnsi="黑体" w:eastAsia="黑体"/>
          <w:b/>
          <w:color w:val="auto"/>
          <w:sz w:val="52"/>
          <w:highlight w:val="none"/>
        </w:rPr>
      </w:pPr>
    </w:p>
    <w:p w14:paraId="318CEFF5">
      <w:pPr>
        <w:spacing w:line="360" w:lineRule="auto"/>
        <w:jc w:val="center"/>
        <w:rPr>
          <w:rFonts w:ascii="黑体" w:hAnsi="黑体" w:eastAsia="黑体"/>
          <w:b/>
          <w:color w:val="auto"/>
          <w:sz w:val="52"/>
          <w:highlight w:val="none"/>
        </w:rPr>
      </w:pPr>
    </w:p>
    <w:p w14:paraId="06DE589C">
      <w:pPr>
        <w:spacing w:line="360" w:lineRule="auto"/>
        <w:jc w:val="center"/>
        <w:rPr>
          <w:rFonts w:ascii="黑体" w:hAnsi="黑体" w:eastAsia="黑体"/>
          <w:b/>
          <w:color w:val="auto"/>
          <w:sz w:val="52"/>
          <w:highlight w:val="none"/>
        </w:rPr>
      </w:pPr>
    </w:p>
    <w:p w14:paraId="1AF9FA8B">
      <w:pPr>
        <w:spacing w:line="360" w:lineRule="auto"/>
        <w:jc w:val="center"/>
        <w:rPr>
          <w:rFonts w:ascii="黑体" w:hAnsi="黑体" w:eastAsia="黑体"/>
          <w:b/>
          <w:color w:val="auto"/>
          <w:sz w:val="52"/>
          <w:highlight w:val="none"/>
        </w:rPr>
      </w:pPr>
    </w:p>
    <w:p w14:paraId="030D5DDF">
      <w:pPr>
        <w:pStyle w:val="2"/>
        <w:jc w:val="center"/>
        <w:rPr>
          <w:rFonts w:ascii="黑体" w:hAnsi="黑体" w:eastAsia="黑体"/>
          <w:color w:val="auto"/>
          <w:sz w:val="52"/>
          <w:highlight w:val="none"/>
        </w:rPr>
      </w:pPr>
      <w:r>
        <w:rPr>
          <w:rFonts w:ascii="黑体" w:hAnsi="黑体" w:eastAsia="黑体"/>
          <w:color w:val="auto"/>
          <w:sz w:val="52"/>
          <w:highlight w:val="none"/>
        </w:rPr>
        <w:t xml:space="preserve"> </w:t>
      </w:r>
      <w:bookmarkStart w:id="1" w:name="_Toc142988041"/>
      <w:r>
        <w:rPr>
          <w:rFonts w:hint="eastAsia" w:ascii="黑体" w:hAnsi="黑体" w:eastAsia="黑体"/>
          <w:color w:val="auto"/>
          <w:sz w:val="52"/>
          <w:highlight w:val="none"/>
        </w:rPr>
        <w:t>投标资料表</w:t>
      </w:r>
      <w:bookmarkEnd w:id="1"/>
    </w:p>
    <w:p w14:paraId="32D6F068">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7AD188B1">
      <w:pPr>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rPr>
        <w:t>投标资料表</w:t>
      </w:r>
    </w:p>
    <w:p w14:paraId="5375E702">
      <w:pPr>
        <w:spacing w:line="360" w:lineRule="auto"/>
        <w:ind w:firstLine="480" w:firstLineChars="200"/>
        <w:rPr>
          <w:color w:val="auto"/>
          <w:sz w:val="24"/>
          <w:highlight w:val="none"/>
        </w:rPr>
      </w:pPr>
      <w:r>
        <w:rPr>
          <w:rFonts w:hint="eastAsia"/>
          <w:color w:val="auto"/>
          <w:sz w:val="24"/>
          <w:highlight w:val="none"/>
        </w:rPr>
        <w:t>本表关于要采购的货物的具体资料是对投标人须知的具体补充和修改，如有矛盾，应以本资料表为准。</w:t>
      </w:r>
    </w:p>
    <w:tbl>
      <w:tblPr>
        <w:tblStyle w:val="17"/>
        <w:tblW w:w="91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648"/>
        <w:gridCol w:w="7515"/>
      </w:tblGrid>
      <w:tr w14:paraId="5E99C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D2C298A">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条款号</w:t>
            </w:r>
          </w:p>
        </w:tc>
        <w:tc>
          <w:tcPr>
            <w:tcW w:w="7515" w:type="dxa"/>
            <w:vAlign w:val="center"/>
          </w:tcPr>
          <w:p w14:paraId="52428FF6">
            <w:pPr>
              <w:jc w:val="center"/>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内      容</w:t>
            </w:r>
          </w:p>
        </w:tc>
      </w:tr>
      <w:tr w14:paraId="349A0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00" w:hRule="atLeast"/>
          <w:jc w:val="center"/>
        </w:trPr>
        <w:tc>
          <w:tcPr>
            <w:tcW w:w="9163" w:type="dxa"/>
            <w:gridSpan w:val="2"/>
            <w:vAlign w:val="center"/>
          </w:tcPr>
          <w:p w14:paraId="4BAFDC0F">
            <w:pPr>
              <w:jc w:val="center"/>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一、说明</w:t>
            </w:r>
          </w:p>
        </w:tc>
      </w:tr>
      <w:tr w14:paraId="4DDE0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2" w:hRule="atLeast"/>
          <w:jc w:val="center"/>
        </w:trPr>
        <w:tc>
          <w:tcPr>
            <w:tcW w:w="1648" w:type="dxa"/>
            <w:vAlign w:val="center"/>
          </w:tcPr>
          <w:p w14:paraId="1408F6B6">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增加</w:t>
            </w:r>
          </w:p>
        </w:tc>
        <w:tc>
          <w:tcPr>
            <w:tcW w:w="7515" w:type="dxa"/>
            <w:vAlign w:val="center"/>
          </w:tcPr>
          <w:p w14:paraId="36ED6F92">
            <w:pPr>
              <w:rPr>
                <w:rFonts w:asciiTheme="minorEastAsia" w:hAnsiTheme="minorEastAsia" w:eastAsiaTheme="minorEastAsia"/>
                <w:b/>
                <w:bCs/>
                <w:color w:val="auto"/>
                <w:sz w:val="24"/>
                <w:szCs w:val="24"/>
                <w:highlight w:val="none"/>
              </w:rPr>
            </w:pPr>
            <w:r>
              <w:rPr>
                <w:rFonts w:asciiTheme="minorEastAsia" w:hAnsiTheme="minorEastAsia" w:eastAsiaTheme="minorEastAsia"/>
                <w:b/>
                <w:color w:val="auto"/>
                <w:sz w:val="24"/>
                <w:szCs w:val="24"/>
                <w:highlight w:val="none"/>
              </w:rPr>
              <w:t>本次招标活动受《中华人民共和国招标投标法》、《中华人民共和国招标投标法实施条例》、《机电产品国际招标投标实施办法（试行）》（商务部2014年第1号令）的约束。</w:t>
            </w:r>
          </w:p>
        </w:tc>
      </w:tr>
      <w:tr w14:paraId="3E642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2" w:hRule="atLeast"/>
          <w:jc w:val="center"/>
        </w:trPr>
        <w:tc>
          <w:tcPr>
            <w:tcW w:w="1648" w:type="dxa"/>
            <w:vAlign w:val="center"/>
          </w:tcPr>
          <w:p w14:paraId="5A45E83A">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1.1</w:t>
            </w:r>
          </w:p>
        </w:tc>
        <w:tc>
          <w:tcPr>
            <w:tcW w:w="7515" w:type="dxa"/>
            <w:vAlign w:val="center"/>
          </w:tcPr>
          <w:p w14:paraId="46EAF274">
            <w:pPr>
              <w:rPr>
                <w:rFonts w:hint="eastAsia" w:asciiTheme="minorEastAsia" w:hAnsiTheme="minorEastAsia" w:eastAsiaTheme="minorEastAsia"/>
                <w:color w:val="auto"/>
                <w:sz w:val="24"/>
                <w:szCs w:val="24"/>
                <w:highlight w:val="none"/>
                <w:lang w:eastAsia="zh-CN"/>
              </w:rPr>
            </w:pPr>
            <w:r>
              <w:rPr>
                <w:rFonts w:asciiTheme="minorEastAsia" w:hAnsiTheme="minorEastAsia" w:eastAsiaTheme="minorEastAsia"/>
                <w:color w:val="auto"/>
                <w:sz w:val="24"/>
                <w:szCs w:val="24"/>
                <w:highlight w:val="none"/>
              </w:rPr>
              <w:t>招标人名称：</w:t>
            </w:r>
            <w:r>
              <w:rPr>
                <w:rFonts w:hint="eastAsia" w:asciiTheme="minorEastAsia" w:hAnsiTheme="minorEastAsia" w:eastAsiaTheme="minorEastAsia"/>
                <w:color w:val="auto"/>
                <w:sz w:val="24"/>
                <w:szCs w:val="24"/>
                <w:highlight w:val="none"/>
                <w:lang w:eastAsia="zh-CN"/>
              </w:rPr>
              <w:t>宁波威孚天力增压技术股份有限公司</w:t>
            </w:r>
          </w:p>
        </w:tc>
      </w:tr>
      <w:tr w14:paraId="496BC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7" w:hRule="atLeast"/>
          <w:jc w:val="center"/>
        </w:trPr>
        <w:tc>
          <w:tcPr>
            <w:tcW w:w="1648" w:type="dxa"/>
            <w:vAlign w:val="center"/>
          </w:tcPr>
          <w:p w14:paraId="248D4EC9">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1.2</w:t>
            </w:r>
          </w:p>
        </w:tc>
        <w:tc>
          <w:tcPr>
            <w:tcW w:w="7515" w:type="dxa"/>
            <w:vAlign w:val="center"/>
          </w:tcPr>
          <w:p w14:paraId="5C144784">
            <w:pPr>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招标人：</w:t>
            </w:r>
            <w:r>
              <w:rPr>
                <w:rFonts w:hint="eastAsia" w:asciiTheme="minorEastAsia" w:hAnsiTheme="minorEastAsia" w:eastAsiaTheme="minorEastAsia"/>
                <w:color w:val="auto"/>
                <w:sz w:val="24"/>
                <w:szCs w:val="24"/>
                <w:highlight w:val="none"/>
                <w:lang w:eastAsia="zh-CN"/>
              </w:rPr>
              <w:t>宁波威孚天力增压技术股份有限公司</w:t>
            </w:r>
          </w:p>
          <w:p w14:paraId="11086C45">
            <w:pPr>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地址：</w:t>
            </w:r>
            <w:r>
              <w:rPr>
                <w:rFonts w:hint="eastAsia" w:asciiTheme="minorEastAsia" w:hAnsiTheme="minorEastAsia" w:eastAsiaTheme="minorEastAsia"/>
                <w:color w:val="auto"/>
                <w:sz w:val="24"/>
                <w:szCs w:val="24"/>
                <w:highlight w:val="none"/>
                <w:lang w:eastAsia="zh-CN"/>
              </w:rPr>
              <w:t>宁波市江北区慈城镇畅阳路268号</w:t>
            </w:r>
          </w:p>
          <w:p w14:paraId="0B2E5A54">
            <w:pPr>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联系人：</w:t>
            </w:r>
            <w:r>
              <w:rPr>
                <w:rFonts w:hint="eastAsia" w:asciiTheme="minorEastAsia" w:hAnsiTheme="minorEastAsia" w:eastAsiaTheme="minorEastAsia"/>
                <w:color w:val="auto"/>
                <w:sz w:val="24"/>
                <w:szCs w:val="24"/>
                <w:highlight w:val="none"/>
                <w:lang w:eastAsia="zh-CN"/>
              </w:rPr>
              <w:t>窦经理</w:t>
            </w:r>
          </w:p>
          <w:p w14:paraId="0C4BF208">
            <w:pPr>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电话：</w:t>
            </w:r>
            <w:r>
              <w:rPr>
                <w:rFonts w:hint="eastAsia" w:asciiTheme="minorEastAsia" w:hAnsiTheme="minorEastAsia" w:eastAsiaTheme="minorEastAsia"/>
                <w:color w:val="auto"/>
                <w:sz w:val="24"/>
                <w:szCs w:val="24"/>
                <w:highlight w:val="none"/>
                <w:lang w:eastAsia="zh-CN"/>
              </w:rPr>
              <w:t>15921385430</w:t>
            </w:r>
          </w:p>
          <w:p w14:paraId="5890C225">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传真：</w:t>
            </w:r>
            <w:r>
              <w:rPr>
                <w:rFonts w:asciiTheme="minorEastAsia" w:hAnsiTheme="minorEastAsia" w:eastAsiaTheme="minorEastAsia"/>
                <w:color w:val="auto"/>
                <w:sz w:val="24"/>
                <w:szCs w:val="24"/>
                <w:highlight w:val="none"/>
              </w:rPr>
              <w:t>0510-80505580</w:t>
            </w:r>
          </w:p>
          <w:p w14:paraId="4474E9D8">
            <w:pPr>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电子邮箱：</w:t>
            </w:r>
            <w:r>
              <w:rPr>
                <w:rFonts w:hint="eastAsia" w:asciiTheme="minorEastAsia" w:hAnsiTheme="minorEastAsia" w:eastAsiaTheme="minorEastAsia"/>
                <w:color w:val="auto"/>
                <w:sz w:val="24"/>
                <w:szCs w:val="24"/>
                <w:highlight w:val="none"/>
                <w:lang w:eastAsia="zh-CN"/>
              </w:rPr>
              <w:t>xiao.dou@weifu.com.cn</w:t>
            </w:r>
          </w:p>
          <w:p w14:paraId="543BEC98">
            <w:pPr>
              <w:rPr>
                <w:rFonts w:asciiTheme="minorEastAsia" w:hAnsiTheme="minorEastAsia" w:eastAsiaTheme="minorEastAsia"/>
                <w:color w:val="auto"/>
                <w:sz w:val="24"/>
                <w:szCs w:val="24"/>
                <w:highlight w:val="none"/>
              </w:rPr>
            </w:pPr>
          </w:p>
          <w:p w14:paraId="19F056FE">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招标</w:t>
            </w:r>
            <w:r>
              <w:rPr>
                <w:rFonts w:hint="eastAsia" w:asciiTheme="minorEastAsia" w:hAnsiTheme="minorEastAsia" w:eastAsiaTheme="minorEastAsia"/>
                <w:color w:val="auto"/>
                <w:sz w:val="24"/>
                <w:szCs w:val="24"/>
                <w:highlight w:val="none"/>
              </w:rPr>
              <w:t>代理</w:t>
            </w:r>
            <w:r>
              <w:rPr>
                <w:rFonts w:asciiTheme="minorEastAsia" w:hAnsiTheme="minorEastAsia" w:eastAsiaTheme="minorEastAsia"/>
                <w:color w:val="auto"/>
                <w:sz w:val="24"/>
                <w:szCs w:val="24"/>
                <w:highlight w:val="none"/>
              </w:rPr>
              <w:t>机构：江苏海外集团国际工程咨询有限公司</w:t>
            </w:r>
          </w:p>
          <w:p w14:paraId="34460499">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地址：江苏省南京市建邺区云龙山路56号大唐科技大厦A座高区15楼</w:t>
            </w:r>
            <w:r>
              <w:rPr>
                <w:rFonts w:hint="eastAsia" w:asciiTheme="minorEastAsia" w:hAnsiTheme="minorEastAsia" w:eastAsiaTheme="minorEastAsia"/>
                <w:color w:val="auto"/>
                <w:sz w:val="24"/>
                <w:szCs w:val="24"/>
                <w:highlight w:val="none"/>
              </w:rPr>
              <w:t>业务三部</w:t>
            </w:r>
          </w:p>
          <w:p w14:paraId="7D2B2F81">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联系人：</w:t>
            </w:r>
            <w:r>
              <w:rPr>
                <w:rFonts w:hint="eastAsia" w:asciiTheme="minorEastAsia" w:hAnsiTheme="minorEastAsia" w:eastAsiaTheme="minorEastAsia"/>
                <w:color w:val="auto"/>
                <w:sz w:val="24"/>
                <w:szCs w:val="24"/>
                <w:highlight w:val="none"/>
                <w:lang w:eastAsia="zh-CN"/>
              </w:rPr>
              <w:t>陈子峻</w:t>
            </w:r>
            <w:r>
              <w:rPr>
                <w:rFonts w:hint="eastAsia" w:asciiTheme="minorEastAsia" w:hAnsiTheme="minorEastAsia" w:eastAsiaTheme="minorEastAsia"/>
                <w:color w:val="auto"/>
                <w:sz w:val="24"/>
                <w:szCs w:val="24"/>
                <w:highlight w:val="none"/>
              </w:rPr>
              <w:t>、杨思魁</w:t>
            </w:r>
          </w:p>
          <w:p w14:paraId="7CCA6477">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电话：025-84795470</w:t>
            </w:r>
          </w:p>
          <w:p w14:paraId="7B7D2C20">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传真：025-84795981</w:t>
            </w:r>
          </w:p>
          <w:p w14:paraId="0C12D46B">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邮箱：</w:t>
            </w:r>
            <w:r>
              <w:rPr>
                <w:rFonts w:asciiTheme="minorEastAsia" w:hAnsiTheme="minorEastAsia" w:eastAsiaTheme="minorEastAsia"/>
                <w:color w:val="auto"/>
                <w:sz w:val="24"/>
                <w:szCs w:val="24"/>
                <w:highlight w:val="none"/>
              </w:rPr>
              <w:t>yangsikui@jocite.com</w:t>
            </w:r>
          </w:p>
        </w:tc>
      </w:tr>
      <w:tr w14:paraId="05536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7" w:hRule="atLeast"/>
          <w:jc w:val="center"/>
        </w:trPr>
        <w:tc>
          <w:tcPr>
            <w:tcW w:w="1648" w:type="dxa"/>
            <w:vAlign w:val="center"/>
          </w:tcPr>
          <w:p w14:paraId="477F53D4">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1.3</w:t>
            </w:r>
          </w:p>
        </w:tc>
        <w:tc>
          <w:tcPr>
            <w:tcW w:w="7515" w:type="dxa"/>
            <w:vAlign w:val="center"/>
          </w:tcPr>
          <w:p w14:paraId="7ABFCEB1">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项目概况：详见招标文件</w:t>
            </w:r>
          </w:p>
          <w:p w14:paraId="2B6964F9">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资金性质：国有资金占控股或主导地位</w:t>
            </w:r>
          </w:p>
        </w:tc>
      </w:tr>
      <w:tr w14:paraId="3E8339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9163" w:type="dxa"/>
            <w:gridSpan w:val="2"/>
            <w:vAlign w:val="center"/>
          </w:tcPr>
          <w:p w14:paraId="6B2D28CD">
            <w:pPr>
              <w:jc w:val="center"/>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三、投标文件</w:t>
            </w:r>
            <w:r>
              <w:rPr>
                <w:rFonts w:hint="eastAsia" w:asciiTheme="minorEastAsia" w:hAnsiTheme="minorEastAsia" w:eastAsiaTheme="minorEastAsia"/>
                <w:b/>
                <w:color w:val="auto"/>
                <w:sz w:val="24"/>
                <w:szCs w:val="24"/>
                <w:highlight w:val="none"/>
              </w:rPr>
              <w:t>的</w:t>
            </w:r>
            <w:r>
              <w:rPr>
                <w:rFonts w:asciiTheme="minorEastAsia" w:hAnsiTheme="minorEastAsia" w:eastAsiaTheme="minorEastAsia"/>
                <w:b/>
                <w:color w:val="auto"/>
                <w:sz w:val="24"/>
                <w:szCs w:val="24"/>
                <w:highlight w:val="none"/>
              </w:rPr>
              <w:t>编制</w:t>
            </w:r>
          </w:p>
        </w:tc>
      </w:tr>
      <w:tr w14:paraId="21BA1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1648" w:type="dxa"/>
            <w:vAlign w:val="center"/>
          </w:tcPr>
          <w:p w14:paraId="4B2FCBC9">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8</w:t>
            </w:r>
          </w:p>
        </w:tc>
        <w:tc>
          <w:tcPr>
            <w:tcW w:w="7515" w:type="dxa"/>
            <w:vAlign w:val="center"/>
          </w:tcPr>
          <w:p w14:paraId="03A9BCBC">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w:t>
            </w:r>
            <w:r>
              <w:rPr>
                <w:rFonts w:hint="eastAsia" w:asciiTheme="minorEastAsia" w:hAnsiTheme="minorEastAsia" w:eastAsiaTheme="minorEastAsia"/>
                <w:color w:val="auto"/>
                <w:sz w:val="24"/>
                <w:szCs w:val="24"/>
                <w:highlight w:val="none"/>
              </w:rPr>
              <w:t>的</w:t>
            </w:r>
            <w:r>
              <w:rPr>
                <w:rFonts w:asciiTheme="minorEastAsia" w:hAnsiTheme="minorEastAsia" w:eastAsiaTheme="minorEastAsia"/>
                <w:color w:val="auto"/>
                <w:sz w:val="24"/>
                <w:szCs w:val="24"/>
                <w:highlight w:val="none"/>
              </w:rPr>
              <w:t>语言：中文或英文。若以英文投标，投标人须同时提供5份中文投标文件，如有冲突，以中文为准。</w:t>
            </w:r>
          </w:p>
        </w:tc>
      </w:tr>
      <w:tr w14:paraId="1F339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1648" w:type="dxa"/>
            <w:vAlign w:val="center"/>
          </w:tcPr>
          <w:p w14:paraId="7BD8377F">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11.2</w:t>
            </w:r>
          </w:p>
        </w:tc>
        <w:tc>
          <w:tcPr>
            <w:tcW w:w="7515" w:type="dxa"/>
            <w:vAlign w:val="center"/>
          </w:tcPr>
          <w:p w14:paraId="30D61014">
            <w:pPr>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本次招标不允许缺漏项。</w:t>
            </w:r>
          </w:p>
        </w:tc>
      </w:tr>
      <w:tr w14:paraId="5EB06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jc w:val="center"/>
        </w:trPr>
        <w:tc>
          <w:tcPr>
            <w:tcW w:w="1648" w:type="dxa"/>
            <w:vAlign w:val="center"/>
          </w:tcPr>
          <w:p w14:paraId="1A029878">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11.6.1</w:t>
            </w:r>
          </w:p>
        </w:tc>
        <w:tc>
          <w:tcPr>
            <w:tcW w:w="7515" w:type="dxa"/>
            <w:vAlign w:val="center"/>
          </w:tcPr>
          <w:p w14:paraId="709FF0A8">
            <w:pPr>
              <w:pStyle w:val="16"/>
              <w:widowControl w:val="0"/>
              <w:spacing w:before="0" w:after="0"/>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rPr>
              <w:t>从中华人民共和国关境内提供的货物，其投标报价组成：</w:t>
            </w:r>
          </w:p>
          <w:p w14:paraId="42E05EA8">
            <w:pPr>
              <w:pStyle w:val="16"/>
              <w:widowControl w:val="0"/>
              <w:spacing w:before="0" w:after="0"/>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rPr>
              <w:t>（一）关境内制造的货物</w:t>
            </w:r>
          </w:p>
          <w:p w14:paraId="349C362A">
            <w:pPr>
              <w:jc w:val="left"/>
              <w:rPr>
                <w:rFonts w:asciiTheme="minorEastAsia" w:hAnsiTheme="minorEastAsia" w:eastAsiaTheme="minorEastAsia"/>
                <w:color w:val="auto"/>
                <w:szCs w:val="24"/>
                <w:highlight w:val="none"/>
              </w:rPr>
            </w:pPr>
            <w:r>
              <w:rPr>
                <w:rFonts w:asciiTheme="minorEastAsia" w:hAnsiTheme="minorEastAsia" w:eastAsiaTheme="minorEastAsia"/>
                <w:color w:val="auto"/>
                <w:sz w:val="24"/>
                <w:szCs w:val="24"/>
                <w:highlight w:val="none"/>
              </w:rPr>
              <w:t>1)交钥匙（</w:t>
            </w:r>
            <w:r>
              <w:rPr>
                <w:rFonts w:hint="eastAsia" w:asciiTheme="minorEastAsia" w:hAnsiTheme="minorEastAsia" w:eastAsiaTheme="minorEastAsia"/>
                <w:color w:val="auto"/>
                <w:sz w:val="24"/>
                <w:szCs w:val="24"/>
                <w:highlight w:val="none"/>
              </w:rPr>
              <w:t>货到</w:t>
            </w:r>
            <w:r>
              <w:rPr>
                <w:rFonts w:asciiTheme="minorEastAsia" w:hAnsiTheme="minorEastAsia" w:eastAsiaTheme="minorEastAsia"/>
                <w:color w:val="auto"/>
                <w:sz w:val="24"/>
                <w:szCs w:val="24"/>
                <w:highlight w:val="none"/>
              </w:rPr>
              <w:t>项目现场</w:t>
            </w:r>
            <w:r>
              <w:rPr>
                <w:rFonts w:hint="eastAsia" w:asciiTheme="minorEastAsia" w:hAnsiTheme="minorEastAsia" w:eastAsiaTheme="minorEastAsia"/>
                <w:color w:val="auto"/>
                <w:sz w:val="24"/>
                <w:szCs w:val="24"/>
                <w:highlight w:val="none"/>
              </w:rPr>
              <w:t>的</w:t>
            </w:r>
            <w:r>
              <w:rPr>
                <w:rFonts w:asciiTheme="minorEastAsia" w:hAnsiTheme="minorEastAsia" w:eastAsiaTheme="minorEastAsia"/>
                <w:color w:val="auto"/>
                <w:sz w:val="24"/>
                <w:szCs w:val="24"/>
                <w:highlight w:val="none"/>
              </w:rPr>
              <w:t>所有费用）</w:t>
            </w:r>
            <w:r>
              <w:rPr>
                <w:rFonts w:hint="eastAsia" w:asciiTheme="minorEastAsia" w:hAnsiTheme="minorEastAsia" w:eastAsiaTheme="minorEastAsia"/>
                <w:color w:val="auto"/>
                <w:szCs w:val="24"/>
                <w:highlight w:val="none"/>
              </w:rPr>
              <w:t>；</w:t>
            </w:r>
          </w:p>
          <w:p w14:paraId="67D6A8A5">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报货物运至最终目的地的关境内运输、保险和伴随货物交运的有关费用；</w:t>
            </w:r>
          </w:p>
          <w:p w14:paraId="3110B568">
            <w:pPr>
              <w:jc w:val="left"/>
              <w:rPr>
                <w:rFonts w:asciiTheme="minorEastAsia" w:hAnsiTheme="minorEastAsia" w:eastAsiaTheme="minorEastAsia"/>
                <w:color w:val="auto"/>
                <w:szCs w:val="24"/>
                <w:highlight w:val="none"/>
              </w:rPr>
            </w:pPr>
            <w:r>
              <w:rPr>
                <w:rFonts w:asciiTheme="minorEastAsia" w:hAnsiTheme="minorEastAsia" w:eastAsiaTheme="minorEastAsia"/>
                <w:color w:val="auto"/>
                <w:sz w:val="24"/>
                <w:szCs w:val="24"/>
                <w:highlight w:val="none"/>
              </w:rPr>
              <w:t>3)</w:t>
            </w:r>
            <w:r>
              <w:rPr>
                <w:rFonts w:hint="eastAsia" w:asciiTheme="minorEastAsia" w:hAnsiTheme="minorEastAsia" w:eastAsiaTheme="minorEastAsia"/>
                <w:color w:val="auto"/>
                <w:sz w:val="24"/>
                <w:szCs w:val="24"/>
                <w:highlight w:val="none"/>
              </w:rPr>
              <w:t>报其他伴随服务的费用</w:t>
            </w:r>
            <w:r>
              <w:rPr>
                <w:rFonts w:asciiTheme="minorEastAsia" w:hAnsiTheme="minorEastAsia" w:eastAsiaTheme="minorEastAsia"/>
                <w:color w:val="auto"/>
                <w:sz w:val="24"/>
                <w:szCs w:val="24"/>
                <w:highlight w:val="none"/>
              </w:rPr>
              <w:t>(如果有的话)。</w:t>
            </w:r>
          </w:p>
          <w:p w14:paraId="690C2D19">
            <w:pPr>
              <w:pStyle w:val="16"/>
              <w:widowControl w:val="0"/>
              <w:spacing w:before="0" w:after="0"/>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rPr>
              <w:t>（二）投标截止时间前已经进口的货物</w:t>
            </w:r>
          </w:p>
          <w:p w14:paraId="132AFB84">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1)交钥匙（</w:t>
            </w:r>
            <w:r>
              <w:rPr>
                <w:rFonts w:hint="eastAsia" w:asciiTheme="minorEastAsia" w:hAnsiTheme="minorEastAsia" w:eastAsiaTheme="minorEastAsia"/>
                <w:color w:val="auto"/>
                <w:sz w:val="24"/>
                <w:szCs w:val="24"/>
                <w:highlight w:val="none"/>
              </w:rPr>
              <w:t>货到</w:t>
            </w:r>
            <w:r>
              <w:rPr>
                <w:rFonts w:asciiTheme="minorEastAsia" w:hAnsiTheme="minorEastAsia" w:eastAsiaTheme="minorEastAsia"/>
                <w:color w:val="auto"/>
                <w:sz w:val="24"/>
                <w:szCs w:val="24"/>
                <w:highlight w:val="none"/>
              </w:rPr>
              <w:t>项目现场</w:t>
            </w:r>
            <w:r>
              <w:rPr>
                <w:rFonts w:hint="eastAsia" w:asciiTheme="minorEastAsia" w:hAnsiTheme="minorEastAsia" w:eastAsiaTheme="minorEastAsia"/>
                <w:color w:val="auto"/>
                <w:sz w:val="24"/>
                <w:szCs w:val="24"/>
                <w:highlight w:val="none"/>
              </w:rPr>
              <w:t>的</w:t>
            </w:r>
            <w:r>
              <w:rPr>
                <w:rFonts w:asciiTheme="minorEastAsia" w:hAnsiTheme="minorEastAsia" w:eastAsiaTheme="minorEastAsia"/>
                <w:color w:val="auto"/>
                <w:sz w:val="24"/>
                <w:szCs w:val="24"/>
                <w:highlight w:val="none"/>
              </w:rPr>
              <w:t>所有费用）</w:t>
            </w:r>
            <w:r>
              <w:rPr>
                <w:rFonts w:hint="eastAsia" w:asciiTheme="minorEastAsia" w:hAnsiTheme="minorEastAsia" w:eastAsiaTheme="minorEastAsia"/>
                <w:color w:val="auto"/>
                <w:sz w:val="24"/>
                <w:szCs w:val="24"/>
                <w:highlight w:val="none"/>
              </w:rPr>
              <w:t>；</w:t>
            </w:r>
          </w:p>
          <w:p w14:paraId="72FFABDA">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报货物运至最终目的地的关境内运输、保险和伴随货物交运的有关费用；</w:t>
            </w:r>
          </w:p>
          <w:p w14:paraId="5570AD2D">
            <w:pPr>
              <w:jc w:val="left"/>
              <w:rPr>
                <w:rFonts w:asciiTheme="minorEastAsia" w:hAnsiTheme="minorEastAsia" w:eastAsiaTheme="minorEastAsia"/>
                <w:color w:val="auto"/>
                <w:szCs w:val="24"/>
                <w:highlight w:val="none"/>
              </w:rPr>
            </w:pPr>
            <w:r>
              <w:rPr>
                <w:rFonts w:asciiTheme="minorEastAsia" w:hAnsiTheme="minorEastAsia" w:eastAsiaTheme="minorEastAsia"/>
                <w:color w:val="auto"/>
                <w:sz w:val="24"/>
                <w:szCs w:val="24"/>
                <w:highlight w:val="none"/>
              </w:rPr>
              <w:t>3)</w:t>
            </w:r>
            <w:r>
              <w:rPr>
                <w:rFonts w:hint="eastAsia" w:asciiTheme="minorEastAsia" w:hAnsiTheme="minorEastAsia" w:eastAsiaTheme="minorEastAsia"/>
                <w:color w:val="auto"/>
                <w:sz w:val="24"/>
                <w:szCs w:val="24"/>
                <w:highlight w:val="none"/>
              </w:rPr>
              <w:t>报其他伴随服务的费用</w:t>
            </w:r>
            <w:r>
              <w:rPr>
                <w:rFonts w:asciiTheme="minorEastAsia" w:hAnsiTheme="minorEastAsia" w:eastAsiaTheme="minorEastAsia"/>
                <w:color w:val="auto"/>
                <w:sz w:val="24"/>
                <w:szCs w:val="24"/>
                <w:highlight w:val="none"/>
              </w:rPr>
              <w:t>(如果有的话)。</w:t>
            </w:r>
          </w:p>
        </w:tc>
      </w:tr>
      <w:tr w14:paraId="7D9527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1A85379">
            <w:pPr>
              <w:ind w:left="-2" w:leftChars="-1" w:firstLine="1"/>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11.6.2</w:t>
            </w:r>
          </w:p>
        </w:tc>
        <w:tc>
          <w:tcPr>
            <w:tcW w:w="7515" w:type="dxa"/>
            <w:vAlign w:val="center"/>
          </w:tcPr>
          <w:p w14:paraId="21971A68">
            <w:pPr>
              <w:ind w:left="-2" w:leftChars="-1" w:firstLine="1"/>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从中华人民共和国关境外提供的货物，其投标报价组成：</w:t>
            </w:r>
          </w:p>
          <w:p w14:paraId="3CDCCC44">
            <w:pPr>
              <w:ind w:left="-2" w:leftChars="-1" w:firstLine="1"/>
              <w:rPr>
                <w:rFonts w:asciiTheme="minorEastAsia" w:hAnsiTheme="minorEastAsia" w:eastAsiaTheme="minorEastAsia"/>
                <w:color w:val="auto"/>
                <w:sz w:val="24"/>
                <w:szCs w:val="24"/>
                <w:highlight w:val="none"/>
              </w:rPr>
            </w:pPr>
            <w:r>
              <w:rPr>
                <w:rFonts w:asciiTheme="minorEastAsia" w:hAnsiTheme="minorEastAsia" w:eastAsiaTheme="minorEastAsia"/>
                <w:b/>
                <w:bCs/>
                <w:color w:val="auto"/>
                <w:sz w:val="24"/>
                <w:szCs w:val="24"/>
                <w:highlight w:val="none"/>
              </w:rPr>
              <w:t>1)报所供货物的</w:t>
            </w:r>
            <w:r>
              <w:rPr>
                <w:rFonts w:hint="eastAsia" w:asciiTheme="minorEastAsia" w:hAnsiTheme="minorEastAsia" w:eastAsiaTheme="minorEastAsia"/>
                <w:b/>
                <w:bCs/>
                <w:color w:val="auto"/>
                <w:sz w:val="24"/>
                <w:szCs w:val="24"/>
                <w:highlight w:val="none"/>
              </w:rPr>
              <w:t>CIF价。</w:t>
            </w:r>
          </w:p>
        </w:tc>
      </w:tr>
      <w:tr w14:paraId="39BFB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0" w:hRule="atLeast"/>
          <w:jc w:val="center"/>
        </w:trPr>
        <w:tc>
          <w:tcPr>
            <w:tcW w:w="1648" w:type="dxa"/>
            <w:vAlign w:val="center"/>
          </w:tcPr>
          <w:p w14:paraId="5E1132E0">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★11.10</w:t>
            </w:r>
          </w:p>
        </w:tc>
        <w:tc>
          <w:tcPr>
            <w:tcW w:w="7515" w:type="dxa"/>
            <w:vAlign w:val="center"/>
          </w:tcPr>
          <w:p w14:paraId="54D991EB">
            <w:pPr>
              <w:pStyle w:val="16"/>
              <w:widowControl w:val="0"/>
              <w:spacing w:before="0" w:after="0"/>
              <w:rPr>
                <w:rFonts w:asciiTheme="minorEastAsia" w:hAnsiTheme="minorEastAsia" w:eastAsiaTheme="minorEastAsia"/>
                <w:color w:val="auto"/>
                <w:kern w:val="2"/>
                <w:szCs w:val="24"/>
                <w:highlight w:val="none"/>
              </w:rPr>
            </w:pPr>
            <w:r>
              <w:rPr>
                <w:rFonts w:asciiTheme="minorEastAsia" w:hAnsiTheme="minorEastAsia" w:eastAsiaTheme="minorEastAsia"/>
                <w:color w:val="auto"/>
                <w:kern w:val="2"/>
                <w:szCs w:val="24"/>
                <w:highlight w:val="none"/>
              </w:rPr>
              <w:t>招标</w:t>
            </w:r>
            <w:r>
              <w:rPr>
                <w:rFonts w:hint="eastAsia" w:asciiTheme="minorEastAsia" w:hAnsiTheme="minorEastAsia" w:eastAsiaTheme="minorEastAsia"/>
                <w:color w:val="auto"/>
                <w:kern w:val="2"/>
                <w:szCs w:val="24"/>
                <w:highlight w:val="none"/>
              </w:rPr>
              <w:t>代理机构</w:t>
            </w:r>
            <w:r>
              <w:rPr>
                <w:rFonts w:asciiTheme="minorEastAsia" w:hAnsiTheme="minorEastAsia" w:eastAsiaTheme="minorEastAsia"/>
                <w:color w:val="auto"/>
                <w:kern w:val="2"/>
                <w:szCs w:val="24"/>
                <w:highlight w:val="none"/>
              </w:rPr>
              <w:t>和招标人不接受选择性报价或者具有附加条件的报价。</w:t>
            </w:r>
          </w:p>
        </w:tc>
      </w:tr>
      <w:tr w14:paraId="37BB3D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0" w:hRule="atLeast"/>
          <w:jc w:val="center"/>
        </w:trPr>
        <w:tc>
          <w:tcPr>
            <w:tcW w:w="1648" w:type="dxa"/>
            <w:vAlign w:val="center"/>
          </w:tcPr>
          <w:p w14:paraId="0AC31CDF">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12.1</w:t>
            </w:r>
          </w:p>
        </w:tc>
        <w:tc>
          <w:tcPr>
            <w:tcW w:w="7515" w:type="dxa"/>
            <w:vAlign w:val="center"/>
          </w:tcPr>
          <w:p w14:paraId="7A3754C0">
            <w:pPr>
              <w:jc w:val="left"/>
              <w:rPr>
                <w:rFonts w:asciiTheme="minorEastAsia" w:hAnsiTheme="minorEastAsia" w:eastAsiaTheme="minorEastAsia"/>
                <w:i/>
                <w:color w:val="auto"/>
                <w:sz w:val="24"/>
                <w:szCs w:val="24"/>
                <w:highlight w:val="none"/>
              </w:rPr>
            </w:pPr>
            <w:r>
              <w:rPr>
                <w:rFonts w:asciiTheme="minorEastAsia" w:hAnsiTheme="minorEastAsia" w:eastAsiaTheme="minorEastAsia"/>
                <w:color w:val="auto"/>
                <w:sz w:val="24"/>
                <w:szCs w:val="24"/>
                <w:highlight w:val="none"/>
              </w:rPr>
              <w:t>投标人从中华人民共和国关境内提供的货物和服务用人民币报价。</w:t>
            </w:r>
          </w:p>
        </w:tc>
      </w:tr>
      <w:tr w14:paraId="66EA1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252DFD1E">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12.2</w:t>
            </w:r>
          </w:p>
        </w:tc>
        <w:tc>
          <w:tcPr>
            <w:tcW w:w="7515" w:type="dxa"/>
            <w:vAlign w:val="center"/>
          </w:tcPr>
          <w:p w14:paraId="705423B0">
            <w:pPr>
              <w:jc w:val="left"/>
              <w:rPr>
                <w:rFonts w:asciiTheme="minorEastAsia" w:hAnsiTheme="minorEastAsia" w:eastAsiaTheme="minorEastAsia"/>
                <w:i/>
                <w:color w:val="auto"/>
                <w:sz w:val="24"/>
                <w:szCs w:val="24"/>
                <w:highlight w:val="none"/>
              </w:rPr>
            </w:pPr>
            <w:r>
              <w:rPr>
                <w:rFonts w:hint="eastAsia" w:asciiTheme="minorEastAsia" w:hAnsiTheme="minorEastAsia" w:eastAsiaTheme="minorEastAsia"/>
                <w:color w:val="auto"/>
                <w:sz w:val="24"/>
                <w:szCs w:val="24"/>
                <w:highlight w:val="none"/>
              </w:rPr>
              <w:t>投标人从中华人民共和国关境外提供的货物和服务用美元或其他国际主要结算货币报价</w:t>
            </w:r>
            <w:r>
              <w:rPr>
                <w:rFonts w:asciiTheme="minorEastAsia" w:hAnsiTheme="minorEastAsia" w:eastAsiaTheme="minorEastAsia"/>
                <w:color w:val="auto"/>
                <w:sz w:val="24"/>
                <w:szCs w:val="24"/>
                <w:highlight w:val="none"/>
              </w:rPr>
              <w:t>。</w:t>
            </w:r>
          </w:p>
        </w:tc>
      </w:tr>
      <w:tr w14:paraId="16061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D3BD530">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13.1</w:t>
            </w:r>
          </w:p>
        </w:tc>
        <w:tc>
          <w:tcPr>
            <w:tcW w:w="7515" w:type="dxa"/>
            <w:vAlign w:val="center"/>
          </w:tcPr>
          <w:p w14:paraId="3B6E6ADA">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本次招标不</w:t>
            </w:r>
            <w:r>
              <w:rPr>
                <w:rFonts w:hint="eastAsia" w:asciiTheme="minorEastAsia" w:hAnsiTheme="minorEastAsia" w:eastAsiaTheme="minorEastAsia"/>
                <w:color w:val="auto"/>
                <w:sz w:val="24"/>
                <w:szCs w:val="24"/>
                <w:highlight w:val="none"/>
              </w:rPr>
              <w:t>允许</w:t>
            </w:r>
            <w:r>
              <w:rPr>
                <w:rFonts w:asciiTheme="minorEastAsia" w:hAnsiTheme="minorEastAsia" w:eastAsiaTheme="minorEastAsia"/>
                <w:color w:val="auto"/>
                <w:sz w:val="24"/>
                <w:szCs w:val="24"/>
                <w:highlight w:val="none"/>
              </w:rPr>
              <w:t>联合体投标。</w:t>
            </w:r>
          </w:p>
        </w:tc>
      </w:tr>
      <w:tr w14:paraId="39C576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02371FB4">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★13.3.3）</w:t>
            </w:r>
          </w:p>
        </w:tc>
        <w:tc>
          <w:tcPr>
            <w:tcW w:w="7515" w:type="dxa"/>
            <w:vAlign w:val="center"/>
          </w:tcPr>
          <w:p w14:paraId="17C7DD23">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/投标货物业绩要求：</w:t>
            </w:r>
          </w:p>
          <w:p w14:paraId="697B49A7">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同第五章</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投标邀请</w:t>
            </w:r>
            <w:r>
              <w:rPr>
                <w:rFonts w:asciiTheme="minorEastAsia" w:hAnsiTheme="minorEastAsia" w:eastAsiaTheme="minorEastAsia"/>
                <w:color w:val="auto"/>
                <w:sz w:val="24"/>
                <w:szCs w:val="24"/>
                <w:highlight w:val="none"/>
              </w:rPr>
              <w:t xml:space="preserve"> 3、投标人资格要求。</w:t>
            </w:r>
          </w:p>
        </w:tc>
      </w:tr>
      <w:tr w14:paraId="5D26E5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760808A">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13.3.5）</w:t>
            </w:r>
          </w:p>
        </w:tc>
        <w:tc>
          <w:tcPr>
            <w:tcW w:w="7515" w:type="dxa"/>
            <w:vAlign w:val="center"/>
          </w:tcPr>
          <w:p w14:paraId="7C301F1F">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本次招标要求投标人提供的其它资格证明文件：无</w:t>
            </w:r>
          </w:p>
        </w:tc>
      </w:tr>
      <w:tr w14:paraId="18CA5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83274AB">
            <w:pPr>
              <w:tabs>
                <w:tab w:val="left" w:pos="2445"/>
              </w:tabs>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14.3（2）</w:t>
            </w:r>
          </w:p>
        </w:tc>
        <w:tc>
          <w:tcPr>
            <w:tcW w:w="7515" w:type="dxa"/>
            <w:vAlign w:val="center"/>
          </w:tcPr>
          <w:p w14:paraId="02B299FE">
            <w:pPr>
              <w:tabs>
                <w:tab w:val="left" w:pos="2445"/>
              </w:tabs>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投标人须提供货物从买方验收合格后开始使用之日起一年（</w:t>
            </w:r>
            <w:r>
              <w:rPr>
                <w:rFonts w:asciiTheme="minorEastAsia" w:hAnsiTheme="minorEastAsia" w:eastAsiaTheme="minorEastAsia"/>
                <w:color w:val="auto"/>
                <w:sz w:val="24"/>
                <w:szCs w:val="24"/>
                <w:highlight w:val="none"/>
              </w:rPr>
              <w:t>12个月）内，货物正常、连续地使用所必须的备件（含易损件）和专用工具清单，包括备件和专用工具的货源及现行价格。</w:t>
            </w:r>
          </w:p>
        </w:tc>
      </w:tr>
      <w:tr w14:paraId="1F9B2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26A744D2">
            <w:pPr>
              <w:tabs>
                <w:tab w:val="left" w:pos="2445"/>
              </w:tabs>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14.3（4）</w:t>
            </w:r>
          </w:p>
        </w:tc>
        <w:tc>
          <w:tcPr>
            <w:tcW w:w="7515" w:type="dxa"/>
            <w:vAlign w:val="center"/>
          </w:tcPr>
          <w:p w14:paraId="7A07FDA8">
            <w:pPr>
              <w:tabs>
                <w:tab w:val="left" w:pos="2445"/>
              </w:tabs>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投标人对加注星号（“</w:t>
            </w:r>
            <w:r>
              <w:rPr>
                <w:rFonts w:hint="eastAsia" w:cs="宋体"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”）的重要技术条款或技术参数应当在投标文件中提供注明货物型号规格和主要技术性能参数的技术支持材料。技术支持资料以制造商公开发布的印刷资料或检测机构出具的检测报告</w:t>
            </w:r>
            <w:r>
              <w:rPr>
                <w:rFonts w:hint="eastAsia" w:asciiTheme="minorEastAsia" w:hAnsiTheme="minorEastAsia" w:eastAsiaTheme="minorEastAsia"/>
                <w:b/>
                <w:color w:val="auto"/>
                <w:sz w:val="24"/>
                <w:szCs w:val="24"/>
                <w:highlight w:val="none"/>
              </w:rPr>
              <w:t>或技术描述等专家认可的其他资料为准</w:t>
            </w:r>
            <w:r>
              <w:rPr>
                <w:rFonts w:asciiTheme="minorEastAsia" w:hAnsiTheme="minorEastAsia" w:eastAsiaTheme="minorEastAsia"/>
                <w:b/>
                <w:color w:val="auto"/>
                <w:sz w:val="24"/>
                <w:szCs w:val="24"/>
                <w:highlight w:val="none"/>
              </w:rPr>
              <w:t>。凡不符合上述要求的，将视为无效技术支持资料。</w:t>
            </w:r>
          </w:p>
        </w:tc>
      </w:tr>
      <w:tr w14:paraId="49337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1D31FC37">
            <w:pPr>
              <w:tabs>
                <w:tab w:val="left" w:pos="2445"/>
              </w:tabs>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15.1</w:t>
            </w:r>
          </w:p>
        </w:tc>
        <w:tc>
          <w:tcPr>
            <w:tcW w:w="7515" w:type="dxa"/>
            <w:tcBorders>
              <w:top w:val="single" w:color="auto" w:sz="12" w:space="0"/>
            </w:tcBorders>
            <w:vAlign w:val="center"/>
          </w:tcPr>
          <w:p w14:paraId="21A59B34">
            <w:pPr>
              <w:tabs>
                <w:tab w:val="left" w:pos="2445"/>
              </w:tabs>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投标保证金的数额：</w:t>
            </w:r>
          </w:p>
          <w:p w14:paraId="693FEFD5">
            <w:pPr>
              <w:tabs>
                <w:tab w:val="left" w:pos="2445"/>
              </w:tabs>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人民币</w:t>
            </w:r>
            <w:r>
              <w:rPr>
                <w:rFonts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u w:val="single"/>
                <w:lang w:val="en-US" w:eastAsia="zh-CN"/>
              </w:rPr>
              <w:t>20</w:t>
            </w:r>
            <w:r>
              <w:rPr>
                <w:rFonts w:hint="eastAsia" w:asciiTheme="minorEastAsia" w:hAnsiTheme="minorEastAsia" w:eastAsiaTheme="minorEastAsia"/>
                <w:color w:val="auto"/>
                <w:sz w:val="24"/>
                <w:szCs w:val="24"/>
                <w:highlight w:val="none"/>
                <w:u w:val="single"/>
              </w:rPr>
              <w:t>0000</w:t>
            </w:r>
            <w:r>
              <w:rPr>
                <w:rFonts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rPr>
              <w:t>元。</w:t>
            </w:r>
            <w:r>
              <w:rPr>
                <w:rFonts w:asciiTheme="minorEastAsia" w:hAnsiTheme="minorEastAsia" w:eastAsiaTheme="minorEastAsia"/>
                <w:color w:val="auto"/>
                <w:sz w:val="24"/>
                <w:szCs w:val="24"/>
                <w:highlight w:val="none"/>
              </w:rPr>
              <w:t xml:space="preserve"> </w:t>
            </w:r>
          </w:p>
          <w:p w14:paraId="54E0A554">
            <w:pPr>
              <w:tabs>
                <w:tab w:val="left" w:pos="2445"/>
              </w:tabs>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投标保证金采用其他货币的，以招标公告发布当日中国银行总行首次发布的外币对人民币的现汇卖出价进行投标保证金货币对人民币的转换。</w:t>
            </w:r>
          </w:p>
        </w:tc>
      </w:tr>
      <w:tr w14:paraId="54B15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5677CBB5">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15.3</w:t>
            </w:r>
          </w:p>
        </w:tc>
        <w:tc>
          <w:tcPr>
            <w:tcW w:w="7515" w:type="dxa"/>
          </w:tcPr>
          <w:p w14:paraId="4CCEC82D">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投标保证金形式：银行保函或电汇。</w:t>
            </w:r>
          </w:p>
          <w:p w14:paraId="33E255FE">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投标保证金有效期应当与投标有效期一致。</w:t>
            </w:r>
          </w:p>
          <w:p w14:paraId="0D09BD7B">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在中华人民共和国境内注册的投标人，提交的投标保证金应当从其基本账户转出。</w:t>
            </w:r>
          </w:p>
          <w:p w14:paraId="49B6C0BE">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如以电汇人民币形式提交投标保证金，要求如下：</w:t>
            </w:r>
          </w:p>
          <w:p w14:paraId="6DB07F35">
            <w:pPr>
              <w:tabs>
                <w:tab w:val="left" w:pos="0"/>
                <w:tab w:val="left" w:pos="660"/>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投标人登陆“江苏海外电子招投标平台（网址：</w:t>
            </w:r>
            <w:r>
              <w:rPr>
                <w:rFonts w:cs="Arial" w:asciiTheme="minorEastAsia" w:hAnsiTheme="minorEastAsia" w:eastAsiaTheme="minorEastAsia"/>
                <w:bCs/>
                <w:color w:val="auto"/>
                <w:sz w:val="24"/>
                <w:szCs w:val="24"/>
                <w:highlight w:val="none"/>
              </w:rPr>
              <w:t>https://www.joccon.cn）”在</w:t>
            </w:r>
            <w:r>
              <w:rPr>
                <w:rFonts w:hint="eastAsia" w:cs="Arial" w:asciiTheme="minorEastAsia" w:hAnsiTheme="minorEastAsia" w:eastAsiaTheme="minorEastAsia"/>
                <w:bCs/>
                <w:color w:val="auto"/>
                <w:sz w:val="24"/>
                <w:szCs w:val="24"/>
                <w:highlight w:val="none"/>
              </w:rPr>
              <w:t>本项目项下</w:t>
            </w:r>
            <w:r>
              <w:rPr>
                <w:rFonts w:cs="Arial" w:asciiTheme="minorEastAsia" w:hAnsiTheme="minorEastAsia" w:eastAsiaTheme="minorEastAsia"/>
                <w:bCs/>
                <w:color w:val="auto"/>
                <w:sz w:val="24"/>
                <w:szCs w:val="24"/>
                <w:highlight w:val="none"/>
              </w:rPr>
              <w:t>缴纳保证金，如有疑问请拨打15378779131</w:t>
            </w:r>
            <w:r>
              <w:rPr>
                <w:rFonts w:hint="eastAsia" w:cs="Arial" w:asciiTheme="minorEastAsia" w:hAnsiTheme="minorEastAsia" w:eastAsiaTheme="minorEastAsia"/>
                <w:bCs/>
                <w:color w:val="auto"/>
                <w:sz w:val="24"/>
                <w:szCs w:val="24"/>
                <w:highlight w:val="none"/>
              </w:rPr>
              <w:t>。</w:t>
            </w:r>
          </w:p>
          <w:p w14:paraId="2AB2D644">
            <w:pPr>
              <w:tabs>
                <w:tab w:val="left" w:pos="0"/>
                <w:tab w:val="left" w:pos="660"/>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如以美元等其他外币形式提交投标保证金，请直接汇款至我司相应外币账户：</w:t>
            </w:r>
          </w:p>
          <w:p w14:paraId="29D2AF38">
            <w:pPr>
              <w:tabs>
                <w:tab w:val="left" w:pos="0"/>
                <w:tab w:val="left" w:pos="660"/>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收取单位：江苏海外集团国际工程咨询有限公司</w:t>
            </w:r>
          </w:p>
          <w:p w14:paraId="1298D0E3">
            <w:pPr>
              <w:tabs>
                <w:tab w:val="left" w:pos="0"/>
                <w:tab w:val="left" w:pos="660"/>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开户银行：交通银行南京分行新街口支行</w:t>
            </w:r>
          </w:p>
          <w:p w14:paraId="0B924A44">
            <w:pPr>
              <w:tabs>
                <w:tab w:val="left" w:pos="0"/>
                <w:tab w:val="left" w:pos="660"/>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美元账号：</w:t>
            </w:r>
            <w:r>
              <w:rPr>
                <w:rFonts w:cs="Arial" w:asciiTheme="minorEastAsia" w:hAnsiTheme="minorEastAsia" w:eastAsiaTheme="minorEastAsia"/>
                <w:bCs/>
                <w:color w:val="auto"/>
                <w:sz w:val="24"/>
                <w:szCs w:val="24"/>
                <w:highlight w:val="none"/>
              </w:rPr>
              <w:t>320006607146300004415</w:t>
            </w:r>
          </w:p>
          <w:p w14:paraId="0637D638">
            <w:pPr>
              <w:tabs>
                <w:tab w:val="left" w:pos="0"/>
                <w:tab w:val="left" w:pos="660"/>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欧元帐号：</w:t>
            </w:r>
            <w:r>
              <w:rPr>
                <w:rFonts w:cs="Arial" w:asciiTheme="minorEastAsia" w:hAnsiTheme="minorEastAsia" w:eastAsiaTheme="minorEastAsia"/>
                <w:bCs/>
                <w:color w:val="auto"/>
                <w:sz w:val="24"/>
                <w:szCs w:val="24"/>
                <w:highlight w:val="none"/>
              </w:rPr>
              <w:t>320006607386300000867</w:t>
            </w:r>
          </w:p>
          <w:p w14:paraId="2721C8B5">
            <w:pPr>
              <w:tabs>
                <w:tab w:val="left" w:pos="0"/>
                <w:tab w:val="left" w:pos="1134"/>
              </w:tabs>
              <w:adjustRightInd w:val="0"/>
              <w:snapToGrid w:val="0"/>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注意事项：</w:t>
            </w:r>
          </w:p>
          <w:p w14:paraId="561DA198">
            <w:pPr>
              <w:tabs>
                <w:tab w:val="left" w:pos="0"/>
                <w:tab w:val="left" w:pos="1134"/>
              </w:tabs>
              <w:adjustRightInd w:val="0"/>
              <w:snapToGrid w:val="0"/>
              <w:rPr>
                <w:rFonts w:asciiTheme="minorEastAsia" w:hAnsiTheme="minorEastAsia" w:eastAsiaTheme="minorEastAsia"/>
                <w:bCs/>
                <w:color w:val="auto"/>
                <w:sz w:val="24"/>
                <w:szCs w:val="24"/>
                <w:highlight w:val="none"/>
              </w:rPr>
            </w:pPr>
            <w:r>
              <w:rPr>
                <w:rFonts w:asciiTheme="minorEastAsia" w:hAnsiTheme="minorEastAsia" w:eastAsiaTheme="minorEastAsia"/>
                <w:bCs/>
                <w:color w:val="auto"/>
                <w:sz w:val="24"/>
                <w:szCs w:val="24"/>
                <w:highlight w:val="none"/>
              </w:rPr>
              <w:t>1.投标人在缴纳投标保证金时应当做到一项目（包）一缴纳，多包的应分包分别缴纳。</w:t>
            </w:r>
          </w:p>
          <w:p w14:paraId="49CD15E4">
            <w:pPr>
              <w:tabs>
                <w:tab w:val="left" w:pos="0"/>
                <w:tab w:val="left" w:pos="1134"/>
              </w:tabs>
              <w:adjustRightInd w:val="0"/>
              <w:snapToGrid w:val="0"/>
              <w:rPr>
                <w:rFonts w:asciiTheme="minorEastAsia" w:hAnsiTheme="minorEastAsia" w:eastAsiaTheme="minorEastAsia"/>
                <w:bCs/>
                <w:color w:val="auto"/>
                <w:sz w:val="24"/>
                <w:szCs w:val="24"/>
                <w:highlight w:val="none"/>
              </w:rPr>
            </w:pPr>
            <w:r>
              <w:rPr>
                <w:rFonts w:asciiTheme="minorEastAsia" w:hAnsiTheme="minorEastAsia" w:eastAsiaTheme="minorEastAsia"/>
                <w:bCs/>
                <w:color w:val="auto"/>
                <w:sz w:val="24"/>
                <w:szCs w:val="24"/>
                <w:highlight w:val="none"/>
              </w:rPr>
              <w:t xml:space="preserve">2. </w:t>
            </w:r>
            <w:r>
              <w:rPr>
                <w:rFonts w:hint="eastAsia" w:asciiTheme="minorEastAsia" w:hAnsiTheme="minorEastAsia" w:eastAsiaTheme="minorEastAsia"/>
                <w:bCs/>
                <w:color w:val="auto"/>
                <w:sz w:val="24"/>
                <w:szCs w:val="24"/>
                <w:highlight w:val="none"/>
              </w:rPr>
              <w:t>投标人应充分考虑资金的在途时间，确保投标保证金在投标截止时间前到达指定账户。</w:t>
            </w:r>
          </w:p>
          <w:p w14:paraId="5BCDA537">
            <w:pPr>
              <w:tabs>
                <w:tab w:val="left" w:pos="0"/>
                <w:tab w:val="left" w:pos="1134"/>
              </w:tabs>
              <w:adjustRightInd w:val="0"/>
              <w:snapToGrid w:val="0"/>
              <w:rPr>
                <w:rFonts w:cs="Arial" w:asciiTheme="minorEastAsia" w:hAnsiTheme="minorEastAsia" w:eastAsiaTheme="minorEastAsia"/>
                <w:bCs/>
                <w:color w:val="auto"/>
                <w:sz w:val="24"/>
                <w:szCs w:val="24"/>
                <w:highlight w:val="none"/>
              </w:rPr>
            </w:pPr>
            <w:r>
              <w:rPr>
                <w:rFonts w:asciiTheme="minorEastAsia" w:hAnsiTheme="minorEastAsia" w:eastAsiaTheme="minorEastAsia"/>
                <w:bCs/>
                <w:color w:val="auto"/>
                <w:sz w:val="24"/>
                <w:szCs w:val="24"/>
                <w:highlight w:val="none"/>
              </w:rPr>
              <w:t>3.投标人须将投标保证金（汇款凭证）随投标文件一同提交。</w:t>
            </w:r>
          </w:p>
          <w:p w14:paraId="7B482391">
            <w:pPr>
              <w:tabs>
                <w:tab w:val="left" w:pos="0"/>
                <w:tab w:val="left" w:pos="1134"/>
              </w:tabs>
              <w:adjustRightInd w:val="0"/>
              <w:snapToGrid w:val="0"/>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有下列情形之一的，投标保证金将不予退还；</w:t>
            </w:r>
          </w:p>
          <w:p w14:paraId="198963CB">
            <w:pPr>
              <w:widowControl/>
              <w:adjustRightInd w:val="0"/>
              <w:snapToGrid w:val="0"/>
              <w:jc w:val="left"/>
              <w:rPr>
                <w:rFonts w:cs="Arial" w:asciiTheme="minorEastAsia" w:hAnsiTheme="minorEastAsia" w:eastAsiaTheme="minorEastAsia"/>
                <w:bCs/>
                <w:color w:val="auto"/>
                <w:sz w:val="24"/>
                <w:szCs w:val="24"/>
                <w:highlight w:val="none"/>
              </w:rPr>
            </w:pPr>
            <w:r>
              <w:rPr>
                <w:rFonts w:cs="Arial" w:asciiTheme="minorEastAsia" w:hAnsiTheme="minorEastAsia" w:eastAsiaTheme="minorEastAsia"/>
                <w:bCs/>
                <w:color w:val="auto"/>
                <w:sz w:val="24"/>
                <w:szCs w:val="24"/>
                <w:highlight w:val="none"/>
              </w:rPr>
              <w:t>（1）投标人在规定的投标有效期内撤销或修改其投标文件；</w:t>
            </w:r>
          </w:p>
          <w:p w14:paraId="46C62ECC">
            <w:pPr>
              <w:widowControl/>
              <w:adjustRightInd w:val="0"/>
              <w:snapToGrid w:val="0"/>
              <w:jc w:val="left"/>
              <w:rPr>
                <w:rFonts w:cs="Arial" w:asciiTheme="minorEastAsia" w:hAnsiTheme="minorEastAsia" w:eastAsiaTheme="minorEastAsia"/>
                <w:bCs/>
                <w:color w:val="auto"/>
                <w:sz w:val="24"/>
                <w:szCs w:val="24"/>
                <w:highlight w:val="none"/>
              </w:rPr>
            </w:pPr>
            <w:r>
              <w:rPr>
                <w:rFonts w:cs="Arial" w:asciiTheme="minorEastAsia" w:hAnsiTheme="minorEastAsia" w:eastAsiaTheme="minorEastAsia"/>
                <w:bCs/>
                <w:color w:val="auto"/>
                <w:sz w:val="24"/>
                <w:szCs w:val="24"/>
                <w:highlight w:val="none"/>
              </w:rPr>
              <w:t>（2）中标人在收到中标通知书后，无正当理由拒签合同协议书或未按招标文件规定提交履约担保；</w:t>
            </w:r>
          </w:p>
          <w:p w14:paraId="3BFE2FF6">
            <w:pPr>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w:t>
            </w:r>
            <w:r>
              <w:rPr>
                <w:rFonts w:cs="Arial" w:asciiTheme="minorEastAsia" w:hAnsiTheme="minorEastAsia" w:eastAsiaTheme="minorEastAsia"/>
                <w:bCs/>
                <w:color w:val="auto"/>
                <w:sz w:val="24"/>
                <w:szCs w:val="24"/>
                <w:highlight w:val="none"/>
              </w:rPr>
              <w:t>3）在投标有效期结束前，排名在前的中标候选人或中标人放弃中标的；</w:t>
            </w:r>
          </w:p>
          <w:p w14:paraId="2182C0C4">
            <w:pPr>
              <w:jc w:val="left"/>
              <w:rPr>
                <w:rFonts w:cs="Arial" w:asciiTheme="minorEastAsia" w:hAnsiTheme="minorEastAsia" w:eastAsiaTheme="minorEastAsia"/>
                <w:bCs/>
                <w:color w:val="auto"/>
                <w:sz w:val="24"/>
                <w:szCs w:val="24"/>
                <w:highlight w:val="none"/>
              </w:rPr>
            </w:pPr>
            <w:r>
              <w:rPr>
                <w:rFonts w:hint="eastAsia" w:cs="Arial" w:asciiTheme="minorEastAsia" w:hAnsiTheme="minorEastAsia" w:eastAsiaTheme="minorEastAsia"/>
                <w:bCs/>
                <w:color w:val="auto"/>
                <w:sz w:val="24"/>
                <w:szCs w:val="24"/>
                <w:highlight w:val="none"/>
              </w:rPr>
              <w:t>（</w:t>
            </w:r>
            <w:r>
              <w:rPr>
                <w:rFonts w:cs="Arial" w:asciiTheme="minorEastAsia" w:hAnsiTheme="minorEastAsia" w:eastAsiaTheme="minorEastAsia"/>
                <w:bCs/>
                <w:color w:val="auto"/>
                <w:sz w:val="24"/>
                <w:szCs w:val="24"/>
                <w:highlight w:val="none"/>
              </w:rPr>
              <w:t>4）法律法规规定的其他情形。</w:t>
            </w:r>
          </w:p>
          <w:p w14:paraId="3029F539">
            <w:pPr>
              <w:jc w:val="left"/>
              <w:rPr>
                <w:rFonts w:asciiTheme="minorEastAsia" w:hAnsiTheme="minorEastAsia" w:eastAsiaTheme="minorEastAsia"/>
                <w:b/>
                <w:bCs/>
                <w:color w:val="auto"/>
                <w:sz w:val="24"/>
                <w:szCs w:val="24"/>
                <w:highlight w:val="none"/>
              </w:rPr>
            </w:pPr>
            <w:r>
              <w:rPr>
                <w:rFonts w:asciiTheme="minorEastAsia" w:hAnsiTheme="minorEastAsia" w:eastAsiaTheme="minorEastAsia"/>
                <w:b/>
                <w:bCs/>
                <w:color w:val="auto"/>
                <w:sz w:val="24"/>
                <w:szCs w:val="24"/>
                <w:highlight w:val="none"/>
              </w:rPr>
              <w:t>特别说明：不接受任何形式的支票。投标保证金的</w:t>
            </w:r>
            <w:r>
              <w:rPr>
                <w:rFonts w:hint="eastAsia" w:asciiTheme="minorEastAsia" w:hAnsiTheme="minorEastAsia" w:eastAsiaTheme="minorEastAsia"/>
                <w:b/>
                <w:bCs/>
                <w:color w:val="auto"/>
                <w:sz w:val="24"/>
                <w:szCs w:val="24"/>
                <w:highlight w:val="none"/>
              </w:rPr>
              <w:t>提</w:t>
            </w:r>
            <w:r>
              <w:rPr>
                <w:rFonts w:asciiTheme="minorEastAsia" w:hAnsiTheme="minorEastAsia" w:eastAsiaTheme="minorEastAsia"/>
                <w:b/>
                <w:bCs/>
                <w:color w:val="auto"/>
                <w:sz w:val="24"/>
                <w:szCs w:val="24"/>
                <w:highlight w:val="none"/>
              </w:rPr>
              <w:t>交及退还过程中的银行手续费用，由投标人承担。</w:t>
            </w:r>
          </w:p>
        </w:tc>
      </w:tr>
      <w:tr w14:paraId="32A12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48" w:type="dxa"/>
            <w:vAlign w:val="center"/>
          </w:tcPr>
          <w:p w14:paraId="31D41D17">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16.1</w:t>
            </w:r>
          </w:p>
        </w:tc>
        <w:tc>
          <w:tcPr>
            <w:tcW w:w="7515" w:type="dxa"/>
            <w:vAlign w:val="center"/>
          </w:tcPr>
          <w:p w14:paraId="316CB67A">
            <w:pPr>
              <w:rPr>
                <w:rFonts w:asciiTheme="minorEastAsia" w:hAnsiTheme="minorEastAsia" w:eastAsiaTheme="minorEastAsia"/>
                <w:i/>
                <w:color w:val="auto"/>
                <w:sz w:val="24"/>
                <w:szCs w:val="24"/>
                <w:highlight w:val="none"/>
              </w:rPr>
            </w:pPr>
            <w:r>
              <w:rPr>
                <w:rFonts w:asciiTheme="minorEastAsia" w:hAnsiTheme="minorEastAsia" w:eastAsiaTheme="minorEastAsia"/>
                <w:color w:val="auto"/>
                <w:sz w:val="24"/>
                <w:szCs w:val="24"/>
                <w:highlight w:val="none"/>
              </w:rPr>
              <w:t>投标有效期：自开标之日起90天。</w:t>
            </w:r>
          </w:p>
        </w:tc>
      </w:tr>
      <w:tr w14:paraId="31E8A4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B3643F5">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17.1</w:t>
            </w:r>
          </w:p>
        </w:tc>
        <w:tc>
          <w:tcPr>
            <w:tcW w:w="7515" w:type="dxa"/>
            <w:vAlign w:val="center"/>
          </w:tcPr>
          <w:p w14:paraId="1BDA0272">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投标人应准备投标文件正本一份和副本</w:t>
            </w:r>
            <w:r>
              <w:rPr>
                <w:rFonts w:hint="eastAsia" w:asciiTheme="minorEastAsia" w:hAnsiTheme="minorEastAsia" w:eastAsiaTheme="minorEastAsia"/>
                <w:color w:val="auto"/>
                <w:sz w:val="24"/>
                <w:szCs w:val="24"/>
                <w:highlight w:val="none"/>
              </w:rPr>
              <w:t>四</w:t>
            </w:r>
            <w:r>
              <w:rPr>
                <w:rFonts w:asciiTheme="minorEastAsia" w:hAnsiTheme="minorEastAsia" w:eastAsiaTheme="minorEastAsia"/>
                <w:color w:val="auto"/>
                <w:sz w:val="24"/>
                <w:szCs w:val="24"/>
                <w:highlight w:val="none"/>
              </w:rPr>
              <w:t>份，每套投标文件须清楚地标明“正本”或“副本”。投标文件的副本应为正本的复印件。若副本</w:t>
            </w:r>
            <w:r>
              <w:rPr>
                <w:rFonts w:hint="eastAsia" w:asciiTheme="minorEastAsia" w:hAnsiTheme="minorEastAsia" w:eastAsiaTheme="minorEastAsia"/>
                <w:color w:val="auto"/>
                <w:sz w:val="24"/>
                <w:szCs w:val="24"/>
                <w:highlight w:val="none"/>
              </w:rPr>
              <w:t>与正本</w:t>
            </w:r>
            <w:r>
              <w:rPr>
                <w:rFonts w:asciiTheme="minorEastAsia" w:hAnsiTheme="minorEastAsia" w:eastAsiaTheme="minorEastAsia"/>
                <w:color w:val="auto"/>
                <w:sz w:val="24"/>
                <w:szCs w:val="24"/>
                <w:highlight w:val="none"/>
              </w:rPr>
              <w:t>不符，以正本为准。</w:t>
            </w:r>
          </w:p>
          <w:p w14:paraId="159C8D62">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投标人应</w:t>
            </w:r>
            <w:r>
              <w:rPr>
                <w:rFonts w:hint="eastAsia" w:asciiTheme="minorEastAsia" w:hAnsiTheme="minorEastAsia" w:eastAsiaTheme="minorEastAsia"/>
                <w:color w:val="auto"/>
                <w:sz w:val="24"/>
                <w:szCs w:val="24"/>
                <w:highlight w:val="none"/>
              </w:rPr>
              <w:t>同时</w:t>
            </w:r>
            <w:r>
              <w:rPr>
                <w:rFonts w:asciiTheme="minorEastAsia" w:hAnsiTheme="minorEastAsia" w:eastAsiaTheme="minorEastAsia"/>
                <w:color w:val="auto"/>
                <w:sz w:val="24"/>
                <w:szCs w:val="24"/>
                <w:highlight w:val="none"/>
              </w:rPr>
              <w:t>提供投标文件电子文档</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U盘，</w:t>
            </w:r>
            <w:r>
              <w:rPr>
                <w:rFonts w:hint="eastAsia" w:asciiTheme="minorEastAsia" w:hAnsiTheme="minorEastAsia" w:eastAsiaTheme="minorEastAsia"/>
                <w:color w:val="auto"/>
                <w:sz w:val="24"/>
                <w:szCs w:val="24"/>
                <w:highlight w:val="none"/>
              </w:rPr>
              <w:t>须包含投标文件正本的Word格式和签字盖章扫描后的PDF格式两种格式，否则后果自负</w:t>
            </w:r>
            <w:r>
              <w:rPr>
                <w:rFonts w:asciiTheme="minorEastAsia" w:hAnsiTheme="minorEastAsia" w:eastAsiaTheme="minorEastAsia"/>
                <w:color w:val="auto"/>
                <w:sz w:val="24"/>
                <w:szCs w:val="24"/>
                <w:highlight w:val="none"/>
              </w:rPr>
              <w:t>）一份。</w:t>
            </w:r>
          </w:p>
        </w:tc>
      </w:tr>
      <w:tr w14:paraId="42452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44F78E95">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★17.2</w:t>
            </w:r>
          </w:p>
        </w:tc>
        <w:tc>
          <w:tcPr>
            <w:tcW w:w="7515" w:type="dxa"/>
            <w:vAlign w:val="center"/>
          </w:tcPr>
          <w:p w14:paraId="6825C670">
            <w:pPr>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投标文件的正本需打印或用不褪色墨水书写，并由法定代表人或经其正式授权的代表签字。授权代表须将以书面形式出具的《</w:t>
            </w:r>
            <w:r>
              <w:rPr>
                <w:rFonts w:hint="eastAsia" w:asciiTheme="minorEastAsia" w:hAnsiTheme="minorEastAsia" w:eastAsiaTheme="minorEastAsia"/>
                <w:b/>
                <w:color w:val="auto"/>
                <w:sz w:val="24"/>
                <w:szCs w:val="24"/>
                <w:highlight w:val="none"/>
              </w:rPr>
              <w:t>单位负责</w:t>
            </w:r>
            <w:r>
              <w:rPr>
                <w:rFonts w:asciiTheme="minorEastAsia" w:hAnsiTheme="minorEastAsia" w:eastAsiaTheme="minorEastAsia"/>
                <w:b/>
                <w:color w:val="auto"/>
                <w:sz w:val="24"/>
                <w:szCs w:val="24"/>
                <w:highlight w:val="none"/>
              </w:rPr>
              <w:t>人授权书》附在投标文件中。除没有修改过的印刷文献外，投标文件的每一页都应由法定代表人或其授权代表用姓或首字母签字。</w:t>
            </w:r>
            <w:r>
              <w:rPr>
                <w:rFonts w:hint="eastAsia" w:asciiTheme="minorEastAsia" w:hAnsiTheme="minorEastAsia" w:eastAsiaTheme="minorEastAsia"/>
                <w:b/>
                <w:color w:val="auto"/>
                <w:sz w:val="24"/>
                <w:szCs w:val="24"/>
                <w:highlight w:val="none"/>
              </w:rPr>
              <w:t>投标文件的副本应为正本的复印件。</w:t>
            </w:r>
          </w:p>
          <w:p w14:paraId="0C3AAE80">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投标文件正本中，要求投标人签字、盖章处须为法定代表人或其授权代表签字原件，包括但不限于投标书、开标一览表、响应</w:t>
            </w:r>
            <w:r>
              <w:rPr>
                <w:rFonts w:asciiTheme="minorEastAsia" w:hAnsiTheme="minorEastAsia" w:eastAsiaTheme="minorEastAsia"/>
                <w:b/>
                <w:color w:val="auto"/>
                <w:sz w:val="24"/>
                <w:szCs w:val="24"/>
                <w:highlight w:val="none"/>
              </w:rPr>
              <w:t>/偏离表、单位负责人授权书（如有）、制造商出具的授权函（如有）、资格声明等，不得使用扫描件或影印件。</w:t>
            </w:r>
          </w:p>
        </w:tc>
      </w:tr>
      <w:tr w14:paraId="6D8AF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3" w:hRule="atLeast"/>
          <w:jc w:val="center"/>
        </w:trPr>
        <w:tc>
          <w:tcPr>
            <w:tcW w:w="9163" w:type="dxa"/>
            <w:gridSpan w:val="2"/>
            <w:vAlign w:val="center"/>
          </w:tcPr>
          <w:p w14:paraId="544170A3">
            <w:pPr>
              <w:jc w:val="center"/>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四、投标文件的递交</w:t>
            </w:r>
          </w:p>
        </w:tc>
      </w:tr>
      <w:tr w14:paraId="3FE87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06" w:hRule="atLeast"/>
          <w:jc w:val="center"/>
        </w:trPr>
        <w:tc>
          <w:tcPr>
            <w:tcW w:w="1648" w:type="dxa"/>
            <w:vMerge w:val="restart"/>
            <w:vAlign w:val="center"/>
          </w:tcPr>
          <w:p w14:paraId="069C4C9E">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18.2</w:t>
            </w:r>
          </w:p>
          <w:p w14:paraId="3533F0BD">
            <w:pPr>
              <w:jc w:val="center"/>
              <w:rPr>
                <w:rFonts w:asciiTheme="minorEastAsia" w:hAnsiTheme="minorEastAsia" w:eastAsiaTheme="minorEastAsia"/>
                <w:color w:val="auto"/>
                <w:sz w:val="24"/>
                <w:szCs w:val="24"/>
                <w:highlight w:val="none"/>
              </w:rPr>
            </w:pPr>
          </w:p>
        </w:tc>
        <w:tc>
          <w:tcPr>
            <w:tcW w:w="7515" w:type="dxa"/>
            <w:vAlign w:val="center"/>
          </w:tcPr>
          <w:p w14:paraId="24A74400">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投标文件递交至：南京市建邺区云龙山路56号大唐科技大厦A座高区14楼开标一厅</w:t>
            </w:r>
          </w:p>
        </w:tc>
      </w:tr>
      <w:tr w14:paraId="12519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12" w:hRule="atLeast"/>
          <w:jc w:val="center"/>
        </w:trPr>
        <w:tc>
          <w:tcPr>
            <w:tcW w:w="1648" w:type="dxa"/>
            <w:vMerge w:val="continue"/>
            <w:vAlign w:val="center"/>
          </w:tcPr>
          <w:p w14:paraId="54156B20">
            <w:pPr>
              <w:jc w:val="center"/>
              <w:rPr>
                <w:rFonts w:asciiTheme="minorEastAsia" w:hAnsiTheme="minorEastAsia" w:eastAsiaTheme="minorEastAsia"/>
                <w:color w:val="auto"/>
                <w:sz w:val="24"/>
                <w:szCs w:val="24"/>
                <w:highlight w:val="none"/>
              </w:rPr>
            </w:pPr>
          </w:p>
        </w:tc>
        <w:tc>
          <w:tcPr>
            <w:tcW w:w="7515" w:type="dxa"/>
            <w:vAlign w:val="center"/>
          </w:tcPr>
          <w:p w14:paraId="54BB97CB">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项目名称、</w:t>
            </w:r>
            <w:r>
              <w:rPr>
                <w:rFonts w:asciiTheme="minorEastAsia" w:hAnsiTheme="minorEastAsia" w:eastAsiaTheme="minorEastAsia"/>
                <w:color w:val="auto"/>
                <w:sz w:val="24"/>
                <w:szCs w:val="24"/>
                <w:highlight w:val="none"/>
              </w:rPr>
              <w:t>招标邀请的标题</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编号：</w:t>
            </w:r>
          </w:p>
          <w:p w14:paraId="3BBB3989">
            <w:pPr>
              <w:jc w:val="left"/>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lang w:eastAsia="zh-CN"/>
              </w:rPr>
              <w:t>机芯动平衡机</w:t>
            </w:r>
            <w:r>
              <w:rPr>
                <w:rFonts w:hint="eastAsia" w:asciiTheme="minorEastAsia" w:hAnsiTheme="minorEastAsia" w:eastAsiaTheme="minorEastAsia"/>
                <w:color w:val="auto"/>
                <w:kern w:val="0"/>
                <w:sz w:val="24"/>
                <w:szCs w:val="24"/>
                <w:highlight w:val="none"/>
              </w:rPr>
              <w:t>机电产品采购项目</w:t>
            </w:r>
            <w:r>
              <w:rPr>
                <w:rFonts w:hint="eastAsia"/>
                <w:color w:val="auto"/>
                <w:kern w:val="0"/>
                <w:sz w:val="24"/>
                <w:szCs w:val="24"/>
                <w:highlight w:val="none"/>
              </w:rPr>
              <w:t>（重新招标）</w:t>
            </w:r>
          </w:p>
          <w:p w14:paraId="189B211A">
            <w:pPr>
              <w:jc w:val="left"/>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kern w:val="0"/>
                <w:sz w:val="24"/>
                <w:szCs w:val="24"/>
                <w:highlight w:val="none"/>
              </w:rPr>
              <w:t>招标编号：</w:t>
            </w:r>
            <w:r>
              <w:rPr>
                <w:rFonts w:hint="eastAsia" w:ascii="宋体" w:hAnsi="宋体" w:cs="宋体" w:eastAsiaTheme="minorEastAsia"/>
                <w:color w:val="auto"/>
                <w:kern w:val="0"/>
                <w:sz w:val="24"/>
                <w:szCs w:val="24"/>
                <w:highlight w:val="none"/>
                <w:lang w:eastAsia="zh-CN"/>
              </w:rPr>
              <w:t>0675-254JOC105378</w:t>
            </w:r>
          </w:p>
        </w:tc>
      </w:tr>
      <w:tr w14:paraId="7E804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7" w:hRule="atLeast"/>
          <w:jc w:val="center"/>
        </w:trPr>
        <w:tc>
          <w:tcPr>
            <w:tcW w:w="1648" w:type="dxa"/>
            <w:vAlign w:val="center"/>
          </w:tcPr>
          <w:p w14:paraId="6030620D">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19.1</w:t>
            </w:r>
          </w:p>
        </w:tc>
        <w:tc>
          <w:tcPr>
            <w:tcW w:w="7515" w:type="dxa"/>
            <w:vAlign w:val="center"/>
          </w:tcPr>
          <w:p w14:paraId="3B2E6909">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投标截止</w:t>
            </w:r>
            <w:r>
              <w:rPr>
                <w:rFonts w:hint="eastAsia" w:asciiTheme="minorEastAsia" w:hAnsiTheme="minorEastAsia" w:eastAsiaTheme="minorEastAsia"/>
                <w:color w:val="auto"/>
                <w:sz w:val="24"/>
                <w:szCs w:val="24"/>
                <w:highlight w:val="none"/>
              </w:rPr>
              <w:t>时间</w:t>
            </w:r>
            <w:r>
              <w:rPr>
                <w:rFonts w:asciiTheme="minorEastAsia" w:hAnsiTheme="minorEastAsia" w:eastAsiaTheme="minorEastAsia"/>
                <w:color w:val="auto"/>
                <w:sz w:val="24"/>
                <w:szCs w:val="24"/>
                <w:highlight w:val="none"/>
              </w:rPr>
              <w:t>：</w:t>
            </w:r>
            <w:r>
              <w:rPr>
                <w:rFonts w:hint="eastAsia" w:ascii="宋体" w:hAnsi="宋体" w:cs="宋体" w:eastAsiaTheme="minorEastAsia"/>
                <w:color w:val="auto"/>
                <w:kern w:val="0"/>
                <w:sz w:val="24"/>
                <w:szCs w:val="24"/>
                <w:highlight w:val="none"/>
                <w:lang w:eastAsia="zh-CN"/>
              </w:rPr>
              <w:t>2025年12月5日</w:t>
            </w:r>
            <w:r>
              <w:rPr>
                <w:rFonts w:hint="eastAsia" w:asciiTheme="minorEastAsia" w:hAnsiTheme="minorEastAsia" w:eastAsiaTheme="minorEastAsia"/>
                <w:color w:val="auto"/>
                <w:sz w:val="24"/>
                <w:szCs w:val="24"/>
                <w:highlight w:val="none"/>
              </w:rPr>
              <w:t>上</w:t>
            </w:r>
            <w:r>
              <w:rPr>
                <w:rFonts w:asciiTheme="minorEastAsia" w:hAnsiTheme="minorEastAsia" w:eastAsiaTheme="minorEastAsia"/>
                <w:color w:val="auto"/>
                <w:sz w:val="24"/>
                <w:szCs w:val="24"/>
                <w:highlight w:val="none"/>
              </w:rPr>
              <w:t>午10:00（北京时间）</w:t>
            </w:r>
          </w:p>
        </w:tc>
      </w:tr>
      <w:tr w14:paraId="73BC13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jc w:val="center"/>
        </w:trPr>
        <w:tc>
          <w:tcPr>
            <w:tcW w:w="9163" w:type="dxa"/>
            <w:gridSpan w:val="2"/>
            <w:vAlign w:val="center"/>
          </w:tcPr>
          <w:p w14:paraId="1B7F0A55">
            <w:pPr>
              <w:jc w:val="center"/>
              <w:rPr>
                <w:rFonts w:asciiTheme="minorEastAsia" w:hAnsiTheme="minorEastAsia" w:eastAsiaTheme="minorEastAsia"/>
                <w:color w:val="auto"/>
                <w:sz w:val="24"/>
                <w:szCs w:val="24"/>
                <w:highlight w:val="none"/>
              </w:rPr>
            </w:pPr>
            <w:r>
              <w:rPr>
                <w:rFonts w:asciiTheme="minorEastAsia" w:hAnsiTheme="minorEastAsia" w:eastAsiaTheme="minorEastAsia"/>
                <w:b/>
                <w:color w:val="auto"/>
                <w:sz w:val="24"/>
                <w:szCs w:val="24"/>
                <w:highlight w:val="none"/>
              </w:rPr>
              <w:t>五、开标与评标</w:t>
            </w:r>
          </w:p>
        </w:tc>
      </w:tr>
      <w:tr w14:paraId="20318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jc w:val="center"/>
        </w:trPr>
        <w:tc>
          <w:tcPr>
            <w:tcW w:w="1648" w:type="dxa"/>
            <w:vAlign w:val="center"/>
          </w:tcPr>
          <w:p w14:paraId="113B7D2F">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22.1</w:t>
            </w:r>
          </w:p>
        </w:tc>
        <w:tc>
          <w:tcPr>
            <w:tcW w:w="7515" w:type="dxa"/>
            <w:vAlign w:val="center"/>
          </w:tcPr>
          <w:p w14:paraId="323E1C29">
            <w:pPr>
              <w:rPr>
                <w:rFonts w:hint="eastAsia" w:asciiTheme="minorEastAsia" w:hAnsiTheme="minorEastAsia" w:eastAsiaTheme="minorEastAsia"/>
                <w:color w:val="auto"/>
                <w:sz w:val="24"/>
                <w:szCs w:val="24"/>
                <w:highlight w:val="none"/>
                <w:lang w:eastAsia="zh-CN"/>
              </w:rPr>
            </w:pPr>
            <w:r>
              <w:rPr>
                <w:rFonts w:asciiTheme="minorEastAsia" w:hAnsiTheme="minorEastAsia" w:eastAsiaTheme="minorEastAsia"/>
                <w:color w:val="auto"/>
                <w:sz w:val="24"/>
                <w:szCs w:val="24"/>
                <w:highlight w:val="none"/>
              </w:rPr>
              <w:t>开标日期：</w:t>
            </w:r>
            <w:r>
              <w:rPr>
                <w:rFonts w:hint="eastAsia" w:ascii="宋体" w:hAnsi="宋体" w:cs="宋体" w:eastAsiaTheme="minorEastAsia"/>
                <w:color w:val="auto"/>
                <w:kern w:val="0"/>
                <w:sz w:val="24"/>
                <w:szCs w:val="24"/>
                <w:highlight w:val="none"/>
                <w:lang w:eastAsia="zh-CN"/>
              </w:rPr>
              <w:t>2025年12月5日</w:t>
            </w:r>
          </w:p>
          <w:p w14:paraId="13CB318E">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时间：</w:t>
            </w:r>
            <w:r>
              <w:rPr>
                <w:rFonts w:hint="eastAsia" w:asciiTheme="minorEastAsia" w:hAnsiTheme="minorEastAsia" w:eastAsiaTheme="minorEastAsia"/>
                <w:color w:val="auto"/>
                <w:sz w:val="24"/>
                <w:szCs w:val="24"/>
                <w:highlight w:val="none"/>
              </w:rPr>
              <w:t>上</w:t>
            </w:r>
            <w:r>
              <w:rPr>
                <w:rFonts w:asciiTheme="minorEastAsia" w:hAnsiTheme="minorEastAsia" w:eastAsiaTheme="minorEastAsia"/>
                <w:color w:val="auto"/>
                <w:sz w:val="24"/>
                <w:szCs w:val="24"/>
                <w:highlight w:val="none"/>
              </w:rPr>
              <w:t>午10:00（北京时间）</w:t>
            </w:r>
          </w:p>
          <w:p w14:paraId="7538D432">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地点：南京市建邺区云龙山路56号大唐科技大厦A座高区14楼开标</w:t>
            </w:r>
            <w:r>
              <w:rPr>
                <w:rFonts w:hint="eastAsia" w:asciiTheme="minorEastAsia" w:hAnsiTheme="minorEastAsia" w:eastAsiaTheme="minorEastAsia"/>
                <w:color w:val="auto"/>
                <w:sz w:val="24"/>
                <w:szCs w:val="24"/>
                <w:highlight w:val="none"/>
              </w:rPr>
              <w:t>一</w:t>
            </w:r>
            <w:r>
              <w:rPr>
                <w:rFonts w:asciiTheme="minorEastAsia" w:hAnsiTheme="minorEastAsia" w:eastAsiaTheme="minorEastAsia"/>
                <w:color w:val="auto"/>
                <w:sz w:val="24"/>
                <w:szCs w:val="24"/>
                <w:highlight w:val="none"/>
              </w:rPr>
              <w:t>厅</w:t>
            </w:r>
          </w:p>
        </w:tc>
      </w:tr>
      <w:tr w14:paraId="67F65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jc w:val="center"/>
        </w:trPr>
        <w:tc>
          <w:tcPr>
            <w:tcW w:w="1648" w:type="dxa"/>
            <w:vAlign w:val="center"/>
          </w:tcPr>
          <w:p w14:paraId="279C73BA">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23.1</w:t>
            </w:r>
          </w:p>
        </w:tc>
        <w:tc>
          <w:tcPr>
            <w:tcW w:w="7515" w:type="dxa"/>
            <w:vAlign w:val="center"/>
          </w:tcPr>
          <w:p w14:paraId="381064C3">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评标办法：最低评标价法</w:t>
            </w:r>
          </w:p>
        </w:tc>
      </w:tr>
      <w:tr w14:paraId="77EA6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jc w:val="center"/>
        </w:trPr>
        <w:tc>
          <w:tcPr>
            <w:tcW w:w="1648" w:type="dxa"/>
            <w:vAlign w:val="center"/>
          </w:tcPr>
          <w:p w14:paraId="716F42A8">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25. 1</w:t>
            </w:r>
          </w:p>
        </w:tc>
        <w:tc>
          <w:tcPr>
            <w:tcW w:w="7515" w:type="dxa"/>
            <w:vAlign w:val="center"/>
          </w:tcPr>
          <w:p w14:paraId="545D2AD4">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评标货币：</w:t>
            </w:r>
            <w:r>
              <w:rPr>
                <w:rFonts w:hint="eastAsia" w:asciiTheme="minorEastAsia" w:hAnsiTheme="minorEastAsia" w:eastAsiaTheme="minorEastAsia"/>
                <w:color w:val="auto"/>
                <w:sz w:val="24"/>
                <w:szCs w:val="24"/>
                <w:highlight w:val="none"/>
              </w:rPr>
              <w:t>美元</w:t>
            </w:r>
          </w:p>
          <w:p w14:paraId="1540F457">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为了便于评标和比较，如果投标</w:t>
            </w:r>
            <w:r>
              <w:rPr>
                <w:rFonts w:hint="eastAsia" w:asciiTheme="minorEastAsia" w:hAnsiTheme="minorEastAsia" w:eastAsiaTheme="minorEastAsia"/>
                <w:color w:val="auto"/>
                <w:sz w:val="24"/>
                <w:szCs w:val="24"/>
                <w:highlight w:val="none"/>
              </w:rPr>
              <w:t>报价</w:t>
            </w:r>
            <w:r>
              <w:rPr>
                <w:rFonts w:asciiTheme="minorEastAsia" w:hAnsiTheme="minorEastAsia" w:eastAsiaTheme="minorEastAsia"/>
                <w:color w:val="auto"/>
                <w:sz w:val="24"/>
                <w:szCs w:val="24"/>
                <w:highlight w:val="none"/>
              </w:rPr>
              <w:t>中有多种货币，以开标当日中国银行总行首次发布的外币对人民币的现汇卖出价进行投标货币对评标货币的转换</w:t>
            </w:r>
            <w:r>
              <w:rPr>
                <w:rFonts w:hint="eastAsia" w:asciiTheme="minorEastAsia" w:hAnsiTheme="minorEastAsia" w:eastAsiaTheme="minorEastAsia"/>
                <w:color w:val="auto"/>
                <w:sz w:val="24"/>
                <w:szCs w:val="24"/>
                <w:highlight w:val="none"/>
              </w:rPr>
              <w:t>，以便</w:t>
            </w:r>
            <w:r>
              <w:rPr>
                <w:rFonts w:asciiTheme="minorEastAsia" w:hAnsiTheme="minorEastAsia" w:eastAsiaTheme="minorEastAsia"/>
                <w:color w:val="auto"/>
                <w:sz w:val="24"/>
                <w:szCs w:val="24"/>
                <w:highlight w:val="none"/>
              </w:rPr>
              <w:t>计算评标价。</w:t>
            </w:r>
          </w:p>
        </w:tc>
      </w:tr>
      <w:tr w14:paraId="158C3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7" w:hRule="atLeast"/>
          <w:jc w:val="center"/>
        </w:trPr>
        <w:tc>
          <w:tcPr>
            <w:tcW w:w="1648" w:type="dxa"/>
            <w:vAlign w:val="center"/>
          </w:tcPr>
          <w:p w14:paraId="75AF5364">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26.3</w:t>
            </w:r>
          </w:p>
        </w:tc>
        <w:tc>
          <w:tcPr>
            <w:tcW w:w="7515" w:type="dxa"/>
            <w:vAlign w:val="center"/>
          </w:tcPr>
          <w:p w14:paraId="621F2CAC">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评标委员会在</w:t>
            </w:r>
            <w:r>
              <w:rPr>
                <w:rFonts w:asciiTheme="minorEastAsia" w:hAnsiTheme="minorEastAsia" w:eastAsiaTheme="minorEastAsia"/>
                <w:color w:val="auto"/>
                <w:sz w:val="24"/>
                <w:szCs w:val="24"/>
                <w:highlight w:val="none"/>
              </w:rPr>
              <w:t>评标时，除</w:t>
            </w:r>
            <w:r>
              <w:rPr>
                <w:rFonts w:hint="eastAsia" w:asciiTheme="minorEastAsia" w:hAnsiTheme="minorEastAsia" w:eastAsiaTheme="minorEastAsia"/>
                <w:color w:val="auto"/>
                <w:sz w:val="24"/>
                <w:szCs w:val="24"/>
                <w:highlight w:val="none"/>
              </w:rPr>
              <w:t>考虑投标人的</w:t>
            </w:r>
            <w:r>
              <w:rPr>
                <w:rFonts w:asciiTheme="minorEastAsia" w:hAnsiTheme="minorEastAsia" w:eastAsiaTheme="minorEastAsia"/>
                <w:color w:val="auto"/>
                <w:sz w:val="24"/>
                <w:szCs w:val="24"/>
                <w:highlight w:val="none"/>
              </w:rPr>
              <w:t>报价之外，还要考虑量化以下因素：</w:t>
            </w:r>
          </w:p>
          <w:p w14:paraId="61019A60">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 xml:space="preserve"> 1）、2）、3）、4）、8）</w:t>
            </w:r>
          </w:p>
        </w:tc>
      </w:tr>
      <w:tr w14:paraId="53ADD6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E47CFE3">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26.4 .1</w:t>
            </w:r>
          </w:p>
        </w:tc>
        <w:tc>
          <w:tcPr>
            <w:tcW w:w="7515" w:type="dxa"/>
            <w:vAlign w:val="center"/>
          </w:tcPr>
          <w:p w14:paraId="63FEFBF3">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在中国</w:t>
            </w:r>
            <w:r>
              <w:rPr>
                <w:rFonts w:hint="eastAsia" w:asciiTheme="minorEastAsia" w:hAnsiTheme="minorEastAsia" w:eastAsiaTheme="minorEastAsia"/>
                <w:color w:val="auto"/>
                <w:sz w:val="24"/>
                <w:szCs w:val="24"/>
                <w:highlight w:val="none"/>
              </w:rPr>
              <w:t>关境内</w:t>
            </w:r>
            <w:r>
              <w:rPr>
                <w:rFonts w:asciiTheme="minorEastAsia" w:hAnsiTheme="minorEastAsia" w:eastAsiaTheme="minorEastAsia"/>
                <w:color w:val="auto"/>
                <w:sz w:val="24"/>
                <w:szCs w:val="24"/>
                <w:highlight w:val="none"/>
              </w:rPr>
              <w:t>所发生的内陆</w:t>
            </w:r>
            <w:r>
              <w:rPr>
                <w:rFonts w:hint="eastAsia" w:asciiTheme="minorEastAsia" w:hAnsiTheme="minorEastAsia" w:eastAsiaTheme="minorEastAsia"/>
                <w:color w:val="auto"/>
                <w:sz w:val="24"/>
                <w:szCs w:val="24"/>
                <w:highlight w:val="none"/>
              </w:rPr>
              <w:t>运输</w:t>
            </w:r>
            <w:r>
              <w:rPr>
                <w:rFonts w:asciiTheme="minorEastAsia" w:hAnsiTheme="minorEastAsia" w:eastAsiaTheme="minorEastAsia"/>
                <w:color w:val="auto"/>
                <w:sz w:val="24"/>
                <w:szCs w:val="24"/>
                <w:highlight w:val="none"/>
              </w:rPr>
              <w:t>费、保险费及其它伴随服务的费用</w:t>
            </w:r>
            <w:r>
              <w:rPr>
                <w:rFonts w:hint="eastAsia" w:asciiTheme="minorEastAsia" w:hAnsiTheme="minorEastAsia" w:eastAsiaTheme="minorEastAsia"/>
                <w:color w:val="auto"/>
                <w:sz w:val="24"/>
                <w:szCs w:val="24"/>
                <w:highlight w:val="none"/>
              </w:rPr>
              <w:t>：</w:t>
            </w:r>
          </w:p>
          <w:p w14:paraId="481473DE">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评标委员会将按照铁路/公路等交通部门、保险公司和/或其它有关机构发布的收费标准计算货物从出厂地/进口港运抵</w:t>
            </w:r>
            <w:r>
              <w:rPr>
                <w:rFonts w:asciiTheme="minorEastAsia" w:hAnsiTheme="minorEastAsia" w:eastAsiaTheme="minorEastAsia"/>
                <w:bCs/>
                <w:color w:val="auto"/>
                <w:sz w:val="24"/>
                <w:szCs w:val="24"/>
                <w:highlight w:val="none"/>
              </w:rPr>
              <w:t>投标资料表</w:t>
            </w:r>
            <w:r>
              <w:rPr>
                <w:rFonts w:asciiTheme="minorEastAsia" w:hAnsiTheme="minorEastAsia" w:eastAsiaTheme="minorEastAsia"/>
                <w:color w:val="auto"/>
                <w:sz w:val="24"/>
                <w:szCs w:val="24"/>
                <w:highlight w:val="none"/>
              </w:rPr>
              <w:t xml:space="preserve">所指明的项目现场所发生的内陆运输、保险及其它伴随服务的费用。为便于计算，投标人应在投标文件中提供估计的货物尺寸、装运重量和每个合同包的估计EXW价/CIF价/CIP价的价值。                                                                                                                                                                                                                                                                                                                                                                                                                                                                                                                                                                     </w:t>
            </w:r>
          </w:p>
        </w:tc>
      </w:tr>
      <w:tr w14:paraId="385FC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648" w:type="dxa"/>
            <w:vAlign w:val="center"/>
          </w:tcPr>
          <w:p w14:paraId="4F023856">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26.4.2</w:t>
            </w:r>
          </w:p>
        </w:tc>
        <w:tc>
          <w:tcPr>
            <w:tcW w:w="7515" w:type="dxa"/>
          </w:tcPr>
          <w:p w14:paraId="23380D37">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本投标邀请项下的货物按照货物需求一览表中规定的时间交货</w:t>
            </w:r>
            <w:r>
              <w:rPr>
                <w:rFonts w:asciiTheme="minorEastAsia" w:hAnsiTheme="minorEastAsia" w:eastAsiaTheme="minorEastAsia"/>
                <w:color w:val="auto"/>
                <w:sz w:val="24"/>
                <w:szCs w:val="24"/>
                <w:highlight w:val="none"/>
              </w:rPr>
              <w:t>(或启运)。以规定的时间为基础，每超过基础时间一周，其评标价将在投标价的基础上增加投标价的1%来考虑。提前交货不考虑降低评标价。</w:t>
            </w:r>
          </w:p>
        </w:tc>
      </w:tr>
      <w:tr w14:paraId="1F177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8" w:hRule="atLeast"/>
          <w:jc w:val="center"/>
        </w:trPr>
        <w:tc>
          <w:tcPr>
            <w:tcW w:w="1648" w:type="dxa"/>
            <w:vAlign w:val="center"/>
          </w:tcPr>
          <w:p w14:paraId="4D372CD8">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26.4.3</w:t>
            </w:r>
          </w:p>
        </w:tc>
        <w:tc>
          <w:tcPr>
            <w:tcW w:w="7515" w:type="dxa"/>
            <w:vAlign w:val="center"/>
          </w:tcPr>
          <w:p w14:paraId="58C027B8">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付款条件的</w:t>
            </w:r>
            <w:r>
              <w:rPr>
                <w:rFonts w:hint="eastAsia" w:asciiTheme="minorEastAsia" w:hAnsiTheme="minorEastAsia" w:eastAsiaTheme="minorEastAsia"/>
                <w:color w:val="auto"/>
                <w:sz w:val="24"/>
                <w:szCs w:val="24"/>
                <w:highlight w:val="none"/>
              </w:rPr>
              <w:t>偏差：</w:t>
            </w:r>
          </w:p>
          <w:p w14:paraId="5EC0A219">
            <w:pPr>
              <w:rPr>
                <w:rFonts w:asciiTheme="minorEastAsia" w:hAnsiTheme="minorEastAsia" w:eastAsiaTheme="minorEastAsia"/>
                <w:b/>
                <w:i/>
                <w:color w:val="auto"/>
                <w:sz w:val="24"/>
                <w:szCs w:val="24"/>
                <w:highlight w:val="none"/>
              </w:rPr>
            </w:pPr>
            <w:r>
              <w:rPr>
                <w:rFonts w:asciiTheme="minorEastAsia" w:hAnsiTheme="minorEastAsia" w:eastAsiaTheme="minorEastAsia"/>
                <w:color w:val="auto"/>
                <w:sz w:val="24"/>
                <w:szCs w:val="24"/>
                <w:highlight w:val="none"/>
              </w:rPr>
              <w:t>所选方案：2）；年利率：百分之六点五(6.5%)</w:t>
            </w:r>
          </w:p>
        </w:tc>
      </w:tr>
      <w:tr w14:paraId="5C853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1D45714">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26.4.4</w:t>
            </w:r>
          </w:p>
        </w:tc>
        <w:tc>
          <w:tcPr>
            <w:tcW w:w="7515" w:type="dxa"/>
          </w:tcPr>
          <w:p w14:paraId="2A1D7634">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零部件和备品备件的费用</w:t>
            </w:r>
            <w:r>
              <w:rPr>
                <w:rFonts w:hint="eastAsia" w:asciiTheme="minorEastAsia" w:hAnsiTheme="minorEastAsia" w:eastAsiaTheme="minorEastAsia"/>
                <w:color w:val="auto"/>
                <w:sz w:val="24"/>
                <w:szCs w:val="24"/>
                <w:highlight w:val="none"/>
              </w:rPr>
              <w:t>：</w:t>
            </w:r>
          </w:p>
          <w:p w14:paraId="474C7DDC">
            <w:pPr>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所选方案：1）；</w:t>
            </w:r>
            <w:r>
              <w:rPr>
                <w:rFonts w:hint="eastAsia" w:asciiTheme="minorEastAsia" w:hAnsiTheme="minorEastAsia" w:eastAsiaTheme="minorEastAsia"/>
                <w:color w:val="auto"/>
                <w:sz w:val="24"/>
                <w:szCs w:val="24"/>
                <w:highlight w:val="none"/>
              </w:rPr>
              <w:t>投标人将所投货物的零部件及在货物最终验收合格后</w:t>
            </w:r>
            <w:r>
              <w:rPr>
                <w:rFonts w:asciiTheme="minorEastAsia" w:hAnsiTheme="minorEastAsia" w:eastAsiaTheme="minorEastAsia"/>
                <w:color w:val="auto"/>
                <w:sz w:val="24"/>
                <w:szCs w:val="24"/>
                <w:highlight w:val="none"/>
              </w:rPr>
              <w:t>12个月内必需的备品备件的名称和数量清单附在技术规格中，按投标文件中所报的单价来计算其总价，并计入投标价中。</w:t>
            </w:r>
          </w:p>
        </w:tc>
      </w:tr>
      <w:tr w14:paraId="03583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7E0F5DCD">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26.4.5</w:t>
            </w:r>
          </w:p>
        </w:tc>
        <w:tc>
          <w:tcPr>
            <w:tcW w:w="7515" w:type="dxa"/>
          </w:tcPr>
          <w:p w14:paraId="2E8E8413">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中国关境内的备件供应和售后服务设施：</w:t>
            </w:r>
          </w:p>
          <w:p w14:paraId="2C6D9775">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投标货物的制造商</w:t>
            </w:r>
            <w:r>
              <w:rPr>
                <w:rFonts w:asciiTheme="minorEastAsia" w:hAnsiTheme="minorEastAsia" w:eastAsiaTheme="minorEastAsia"/>
                <w:color w:val="auto"/>
                <w:sz w:val="24"/>
                <w:szCs w:val="24"/>
                <w:highlight w:val="none"/>
              </w:rPr>
              <w:t>在中国境内</w:t>
            </w:r>
            <w:r>
              <w:rPr>
                <w:rFonts w:hint="eastAsia" w:asciiTheme="minorEastAsia" w:hAnsiTheme="minorEastAsia" w:eastAsiaTheme="minorEastAsia"/>
                <w:color w:val="auto"/>
                <w:sz w:val="24"/>
                <w:szCs w:val="24"/>
                <w:highlight w:val="none"/>
              </w:rPr>
              <w:t>应</w:t>
            </w:r>
            <w:r>
              <w:rPr>
                <w:rFonts w:asciiTheme="minorEastAsia" w:hAnsiTheme="minorEastAsia" w:eastAsiaTheme="minorEastAsia"/>
                <w:color w:val="auto"/>
                <w:sz w:val="24"/>
                <w:szCs w:val="24"/>
                <w:highlight w:val="none"/>
              </w:rPr>
              <w:t>设有办事处并有精通</w:t>
            </w:r>
            <w:r>
              <w:rPr>
                <w:rFonts w:hint="eastAsia" w:asciiTheme="minorEastAsia" w:hAnsiTheme="minorEastAsia" w:eastAsiaTheme="minorEastAsia"/>
                <w:color w:val="auto"/>
                <w:sz w:val="24"/>
                <w:szCs w:val="24"/>
                <w:highlight w:val="none"/>
              </w:rPr>
              <w:t>加工中心设备维修</w:t>
            </w:r>
            <w:r>
              <w:rPr>
                <w:rFonts w:asciiTheme="minorEastAsia" w:hAnsiTheme="minorEastAsia" w:eastAsiaTheme="minorEastAsia"/>
                <w:color w:val="auto"/>
                <w:sz w:val="24"/>
                <w:szCs w:val="24"/>
                <w:highlight w:val="none"/>
              </w:rPr>
              <w:t>的专职服务工程师</w:t>
            </w:r>
            <w:r>
              <w:rPr>
                <w:rFonts w:hint="eastAsia" w:asciiTheme="minorEastAsia" w:hAnsiTheme="minorEastAsia" w:eastAsiaTheme="minorEastAsia"/>
                <w:color w:val="auto"/>
                <w:sz w:val="24"/>
                <w:szCs w:val="24"/>
                <w:highlight w:val="none"/>
              </w:rPr>
              <w:t>。需提供售后服务机构名称和工程师名单。</w:t>
            </w:r>
          </w:p>
        </w:tc>
      </w:tr>
      <w:tr w14:paraId="42844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9AC5C5B">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26.4.6</w:t>
            </w:r>
          </w:p>
        </w:tc>
        <w:tc>
          <w:tcPr>
            <w:tcW w:w="7515" w:type="dxa"/>
            <w:vAlign w:val="center"/>
          </w:tcPr>
          <w:p w14:paraId="146003F3">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投标设备的预计运行和维护费用：不适用。</w:t>
            </w:r>
          </w:p>
        </w:tc>
      </w:tr>
      <w:tr w14:paraId="51E5B0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6F989FD">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26.4.7</w:t>
            </w:r>
          </w:p>
        </w:tc>
        <w:tc>
          <w:tcPr>
            <w:tcW w:w="7515" w:type="dxa"/>
            <w:vAlign w:val="center"/>
          </w:tcPr>
          <w:p w14:paraId="0E2F914B">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投标设备的性能和生产率：不适用。</w:t>
            </w:r>
          </w:p>
        </w:tc>
      </w:tr>
      <w:tr w14:paraId="29FE1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73B7D328">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26.4.8</w:t>
            </w:r>
          </w:p>
        </w:tc>
        <w:tc>
          <w:tcPr>
            <w:tcW w:w="7515" w:type="dxa"/>
            <w:vAlign w:val="center"/>
          </w:tcPr>
          <w:p w14:paraId="6E2C9E77">
            <w:pPr>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其它额外</w:t>
            </w:r>
            <w:r>
              <w:rPr>
                <w:rFonts w:hint="eastAsia" w:asciiTheme="minorEastAsia" w:hAnsiTheme="minorEastAsia" w:eastAsiaTheme="minorEastAsia"/>
                <w:b/>
                <w:color w:val="auto"/>
                <w:sz w:val="24"/>
                <w:szCs w:val="24"/>
                <w:highlight w:val="none"/>
              </w:rPr>
              <w:t>的</w:t>
            </w:r>
            <w:r>
              <w:rPr>
                <w:rFonts w:asciiTheme="minorEastAsia" w:hAnsiTheme="minorEastAsia" w:eastAsiaTheme="minorEastAsia"/>
                <w:b/>
                <w:color w:val="auto"/>
                <w:sz w:val="24"/>
                <w:szCs w:val="24"/>
                <w:highlight w:val="none"/>
              </w:rPr>
              <w:t>评标因素和标准：</w:t>
            </w:r>
          </w:p>
          <w:p w14:paraId="40C81BAA">
            <w:pPr>
              <w:numPr>
                <w:ilvl w:val="0"/>
                <w:numId w:val="2"/>
              </w:numPr>
              <w:shd w:val="clear" w:color="auto" w:fill="FFFFFF"/>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招标文件中加注星号（“★”）的为重要条款（参数），如不满足任一带星号（“★”）的条款（参数）将被视为不满足招标文件实质性要求，并导致投标被否决。</w:t>
            </w:r>
          </w:p>
          <w:p w14:paraId="57DA19E7">
            <w:pPr>
              <w:numPr>
                <w:ilvl w:val="0"/>
                <w:numId w:val="2"/>
              </w:numPr>
              <w:shd w:val="clear" w:color="auto" w:fill="FFFFFF"/>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招标文件中未加注星号（“★”）的为一般条款。对这些一般条款，投标文件中如达到招标文件允许偏离的最高项数（8项），将导致投标被否决。</w:t>
            </w:r>
          </w:p>
          <w:p w14:paraId="6520A841">
            <w:pPr>
              <w:numPr>
                <w:ilvl w:val="0"/>
                <w:numId w:val="2"/>
              </w:numPr>
              <w:shd w:val="clear" w:color="auto" w:fill="FFFFFF"/>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每个一般技术条款（参数）的偏离加价为该设备投标价格的1%，投标文件中没有单独列出该设备分项报价的，评标价格调整时按投标总价计算。</w:t>
            </w:r>
          </w:p>
          <w:p w14:paraId="30E3B0B0">
            <w:pPr>
              <w:numPr>
                <w:ilvl w:val="0"/>
                <w:numId w:val="2"/>
              </w:numPr>
              <w:rPr>
                <w:rFonts w:asciiTheme="minorEastAsia" w:hAnsiTheme="minorEastAsia" w:eastAsiaTheme="minorEastAsia"/>
                <w:color w:val="auto"/>
                <w:sz w:val="24"/>
                <w:szCs w:val="24"/>
                <w:highlight w:val="none"/>
              </w:rPr>
            </w:pPr>
            <w:r>
              <w:rPr>
                <w:rFonts w:asciiTheme="minorEastAsia" w:hAnsiTheme="minorEastAsia" w:eastAsiaTheme="minorEastAsia"/>
                <w:b/>
                <w:color w:val="auto"/>
                <w:sz w:val="24"/>
                <w:szCs w:val="24"/>
                <w:highlight w:val="none"/>
              </w:rPr>
              <w:t>投标分项报价表与技术规格</w:t>
            </w:r>
            <w:r>
              <w:rPr>
                <w:rFonts w:hint="eastAsia" w:asciiTheme="minorEastAsia" w:hAnsiTheme="minorEastAsia" w:eastAsiaTheme="minorEastAsia"/>
                <w:b/>
                <w:color w:val="auto"/>
                <w:sz w:val="24"/>
                <w:szCs w:val="24"/>
                <w:highlight w:val="none"/>
              </w:rPr>
              <w:t>响应</w:t>
            </w:r>
            <w:r>
              <w:rPr>
                <w:rFonts w:asciiTheme="minorEastAsia" w:hAnsiTheme="minorEastAsia" w:eastAsiaTheme="minorEastAsia"/>
                <w:b/>
                <w:color w:val="auto"/>
                <w:sz w:val="24"/>
                <w:szCs w:val="24"/>
                <w:highlight w:val="none"/>
              </w:rPr>
              <w:t>/偏离表必须严格按照招标文件的要求制作，如果未按照招标文件的要求制作，由此产生的投标被否决的风险由投标人承担。</w:t>
            </w:r>
          </w:p>
        </w:tc>
      </w:tr>
      <w:tr w14:paraId="1C52A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141485CF">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26.5</w:t>
            </w:r>
          </w:p>
        </w:tc>
        <w:tc>
          <w:tcPr>
            <w:tcW w:w="7515" w:type="dxa"/>
            <w:vAlign w:val="center"/>
          </w:tcPr>
          <w:p w14:paraId="725E0780">
            <w:pPr>
              <w:jc w:val="left"/>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中标候选人数量：</w:t>
            </w:r>
            <w:r>
              <w:rPr>
                <w:rFonts w:asciiTheme="minorEastAsia" w:hAnsiTheme="minorEastAsia" w:eastAsiaTheme="minorEastAsia"/>
                <w:color w:val="auto"/>
                <w:sz w:val="24"/>
                <w:szCs w:val="24"/>
                <w:highlight w:val="none"/>
              </w:rPr>
              <w:t>1-3名</w:t>
            </w:r>
          </w:p>
        </w:tc>
      </w:tr>
      <w:tr w14:paraId="3F875D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16" w:hRule="atLeast"/>
          <w:jc w:val="center"/>
        </w:trPr>
        <w:tc>
          <w:tcPr>
            <w:tcW w:w="9163" w:type="dxa"/>
            <w:gridSpan w:val="2"/>
            <w:vAlign w:val="center"/>
          </w:tcPr>
          <w:p w14:paraId="29E7DFF4">
            <w:pPr>
              <w:jc w:val="center"/>
              <w:rPr>
                <w:rFonts w:asciiTheme="minorEastAsia" w:hAnsiTheme="minorEastAsia" w:eastAsiaTheme="minorEastAsia"/>
                <w:color w:val="auto"/>
                <w:sz w:val="24"/>
                <w:szCs w:val="24"/>
                <w:highlight w:val="none"/>
              </w:rPr>
            </w:pPr>
            <w:r>
              <w:rPr>
                <w:rFonts w:asciiTheme="minorEastAsia" w:hAnsiTheme="minorEastAsia" w:eastAsiaTheme="minorEastAsia"/>
                <w:b/>
                <w:color w:val="auto"/>
                <w:sz w:val="24"/>
                <w:szCs w:val="24"/>
                <w:highlight w:val="none"/>
              </w:rPr>
              <w:t>六、授予合同</w:t>
            </w:r>
          </w:p>
        </w:tc>
      </w:tr>
      <w:tr w14:paraId="37069D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11" w:hRule="atLeast"/>
          <w:jc w:val="center"/>
        </w:trPr>
        <w:tc>
          <w:tcPr>
            <w:tcW w:w="1648" w:type="dxa"/>
            <w:tcBorders>
              <w:top w:val="single" w:color="auto" w:sz="4" w:space="0"/>
              <w:left w:val="single" w:color="auto" w:sz="12" w:space="0"/>
              <w:bottom w:val="single" w:color="auto" w:sz="4" w:space="0"/>
              <w:right w:val="single" w:color="auto" w:sz="4" w:space="0"/>
            </w:tcBorders>
            <w:vAlign w:val="center"/>
          </w:tcPr>
          <w:p w14:paraId="472CD420">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31.3</w:t>
            </w:r>
          </w:p>
        </w:tc>
        <w:tc>
          <w:tcPr>
            <w:tcW w:w="7515" w:type="dxa"/>
            <w:tcBorders>
              <w:top w:val="single" w:color="auto" w:sz="4" w:space="0"/>
              <w:left w:val="single" w:color="auto" w:sz="4" w:space="0"/>
              <w:bottom w:val="single" w:color="auto" w:sz="4" w:space="0"/>
              <w:right w:val="single" w:color="auto" w:sz="12" w:space="0"/>
            </w:tcBorders>
            <w:vAlign w:val="center"/>
          </w:tcPr>
          <w:p w14:paraId="1DD2B215">
            <w:pPr>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color w:val="auto"/>
                <w:sz w:val="24"/>
                <w:szCs w:val="24"/>
                <w:highlight w:val="none"/>
              </w:rPr>
              <w:t>中标人确定方法：招标人应当确定排名第一的中标候选人为中标人。</w:t>
            </w:r>
          </w:p>
        </w:tc>
      </w:tr>
      <w:tr w14:paraId="5A9FBD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11" w:hRule="atLeast"/>
          <w:jc w:val="center"/>
        </w:trPr>
        <w:tc>
          <w:tcPr>
            <w:tcW w:w="1648" w:type="dxa"/>
            <w:tcBorders>
              <w:top w:val="single" w:color="auto" w:sz="4" w:space="0"/>
              <w:left w:val="single" w:color="auto" w:sz="12" w:space="0"/>
              <w:bottom w:val="single" w:color="auto" w:sz="12" w:space="0"/>
              <w:right w:val="single" w:color="auto" w:sz="4" w:space="0"/>
            </w:tcBorders>
            <w:vAlign w:val="center"/>
          </w:tcPr>
          <w:p w14:paraId="13C307BD">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36</w:t>
            </w:r>
          </w:p>
        </w:tc>
        <w:tc>
          <w:tcPr>
            <w:tcW w:w="7515" w:type="dxa"/>
            <w:tcBorders>
              <w:top w:val="single" w:color="auto" w:sz="4" w:space="0"/>
              <w:left w:val="single" w:color="auto" w:sz="4" w:space="0"/>
              <w:bottom w:val="single" w:color="auto" w:sz="12" w:space="0"/>
              <w:right w:val="single" w:color="auto" w:sz="12" w:space="0"/>
            </w:tcBorders>
            <w:vAlign w:val="center"/>
          </w:tcPr>
          <w:p w14:paraId="3C0C8A3E">
            <w:pPr>
              <w:ind w:left="164"/>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招标服务费：</w:t>
            </w:r>
          </w:p>
          <w:p w14:paraId="48204949">
            <w:pPr>
              <w:ind w:left="164"/>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中标人</w:t>
            </w:r>
            <w:r>
              <w:rPr>
                <w:rFonts w:hint="eastAsia" w:asciiTheme="minorEastAsia" w:hAnsiTheme="minorEastAsia" w:eastAsiaTheme="minorEastAsia"/>
                <w:color w:val="auto"/>
                <w:sz w:val="24"/>
                <w:szCs w:val="24"/>
                <w:highlight w:val="none"/>
              </w:rPr>
              <w:t>应</w:t>
            </w:r>
            <w:r>
              <w:rPr>
                <w:rFonts w:asciiTheme="minorEastAsia" w:hAnsiTheme="minorEastAsia" w:eastAsiaTheme="minorEastAsia"/>
                <w:color w:val="auto"/>
                <w:sz w:val="24"/>
                <w:szCs w:val="24"/>
                <w:highlight w:val="none"/>
              </w:rPr>
              <w:t>按以下标准和规定向招标</w:t>
            </w:r>
            <w:r>
              <w:rPr>
                <w:rFonts w:hint="eastAsia" w:asciiTheme="minorEastAsia" w:hAnsiTheme="minorEastAsia" w:eastAsiaTheme="minorEastAsia"/>
                <w:color w:val="auto"/>
                <w:sz w:val="24"/>
                <w:szCs w:val="24"/>
                <w:highlight w:val="none"/>
              </w:rPr>
              <w:t>代理</w:t>
            </w:r>
            <w:r>
              <w:rPr>
                <w:rFonts w:asciiTheme="minorEastAsia" w:hAnsiTheme="minorEastAsia" w:eastAsiaTheme="minorEastAsia"/>
                <w:color w:val="auto"/>
                <w:sz w:val="24"/>
                <w:szCs w:val="24"/>
                <w:highlight w:val="none"/>
              </w:rPr>
              <w:t>机构交纳招标服务费：</w:t>
            </w:r>
          </w:p>
          <w:p w14:paraId="19A84A6A">
            <w:pPr>
              <w:ind w:left="164"/>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（1）以“中标通知书”中确定的中标总金额作为收费的计算基数。</w:t>
            </w:r>
          </w:p>
          <w:p w14:paraId="683B96A1">
            <w:pPr>
              <w:ind w:left="164"/>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bCs/>
                <w:color w:val="auto"/>
                <w:sz w:val="24"/>
                <w:szCs w:val="24"/>
                <w:highlight w:val="none"/>
              </w:rPr>
              <w:t>中标人按照中标通知书金额的</w:t>
            </w:r>
            <w:r>
              <w:rPr>
                <w:rFonts w:asciiTheme="minorEastAsia" w:hAnsiTheme="minorEastAsia" w:eastAsiaTheme="minorEastAsia"/>
                <w:bCs/>
                <w:color w:val="auto"/>
                <w:sz w:val="24"/>
                <w:szCs w:val="24"/>
                <w:highlight w:val="none"/>
                <w:u w:val="single"/>
              </w:rPr>
              <w:t>5‰</w:t>
            </w:r>
            <w:r>
              <w:rPr>
                <w:rFonts w:hint="eastAsia" w:asciiTheme="minorEastAsia" w:hAnsiTheme="minorEastAsia" w:eastAsiaTheme="minorEastAsia"/>
                <w:bCs/>
                <w:color w:val="auto"/>
                <w:sz w:val="24"/>
                <w:szCs w:val="24"/>
                <w:highlight w:val="none"/>
              </w:rPr>
              <w:t>向招标代理机构一次性交付招标服务费</w:t>
            </w:r>
            <w:r>
              <w:rPr>
                <w:rFonts w:asciiTheme="minorEastAsia" w:hAnsiTheme="minorEastAsia" w:eastAsiaTheme="minorEastAsia"/>
                <w:color w:val="auto"/>
                <w:sz w:val="24"/>
                <w:szCs w:val="24"/>
                <w:highlight w:val="none"/>
              </w:rPr>
              <w:t>。</w:t>
            </w:r>
          </w:p>
          <w:p w14:paraId="510E7B53">
            <w:pPr>
              <w:ind w:left="164"/>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（3）招标服务费币种与投标货币的币种相同，或以人民币支付（按开标当日中国银行总行首次发布的外币对人民币的现汇卖出价进行投标货币对人民币的转换）。</w:t>
            </w:r>
          </w:p>
          <w:p w14:paraId="339DFB04">
            <w:pPr>
              <w:tabs>
                <w:tab w:val="left" w:pos="332"/>
              </w:tabs>
              <w:ind w:left="164"/>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（4）招标服务费的交纳方式：可用电汇、现金等付款方式(但对来自国外的付款,仅接受电汇或现金)。</w:t>
            </w:r>
          </w:p>
          <w:p w14:paraId="4EB39674">
            <w:pPr>
              <w:ind w:left="165" w:hanging="12"/>
              <w:jc w:val="lef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 xml:space="preserve"> (5) 如果中标人在收到中标通知书后起30天内未按上述规定交纳标服务费,则招标机构将没收其投标保证金。</w:t>
            </w:r>
          </w:p>
        </w:tc>
      </w:tr>
      <w:tr w14:paraId="6D6619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11" w:hRule="atLeast"/>
          <w:jc w:val="center"/>
        </w:trPr>
        <w:tc>
          <w:tcPr>
            <w:tcW w:w="1648" w:type="dxa"/>
            <w:tcBorders>
              <w:top w:val="single" w:color="auto" w:sz="12" w:space="0"/>
              <w:left w:val="single" w:color="auto" w:sz="12" w:space="0"/>
              <w:bottom w:val="single" w:color="auto" w:sz="12" w:space="0"/>
              <w:right w:val="single" w:color="auto" w:sz="4" w:space="0"/>
            </w:tcBorders>
            <w:vAlign w:val="center"/>
          </w:tcPr>
          <w:p w14:paraId="3D2FFE09">
            <w:pPr>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增加</w:t>
            </w:r>
          </w:p>
        </w:tc>
        <w:tc>
          <w:tcPr>
            <w:tcW w:w="7515" w:type="dxa"/>
            <w:tcBorders>
              <w:top w:val="single" w:color="auto" w:sz="12" w:space="0"/>
              <w:left w:val="single" w:color="auto" w:sz="4" w:space="0"/>
              <w:bottom w:val="single" w:color="auto" w:sz="12" w:space="0"/>
              <w:right w:val="single" w:color="auto" w:sz="12" w:space="0"/>
            </w:tcBorders>
            <w:vAlign w:val="center"/>
          </w:tcPr>
          <w:p w14:paraId="75317F06">
            <w:pPr>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特别提示：</w:t>
            </w:r>
          </w:p>
          <w:p w14:paraId="06E30EA1">
            <w:pPr>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注意：投标人在投标前应在必联网(http://www.ebnew.com)或机电产品招标投标电子交易平台（http://www.chinabidding.com）完成注册及信息核验。否则，投标人将不能有效地进入招标程序，由此产生的后果将由投标人自己负责。</w:t>
            </w:r>
          </w:p>
          <w:p w14:paraId="4FB4FD4B">
            <w:pPr>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2、投标人须仔细阅读招标文件第一册《投标人须知》中的有关规定，例如：9.投标文件</w:t>
            </w:r>
            <w:r>
              <w:rPr>
                <w:rFonts w:hint="eastAsia" w:asciiTheme="minorEastAsia" w:hAnsiTheme="minorEastAsia" w:eastAsiaTheme="minorEastAsia"/>
                <w:b/>
                <w:color w:val="auto"/>
                <w:sz w:val="24"/>
                <w:szCs w:val="24"/>
                <w:highlight w:val="none"/>
              </w:rPr>
              <w:t>的</w:t>
            </w:r>
            <w:r>
              <w:rPr>
                <w:rFonts w:asciiTheme="minorEastAsia" w:hAnsiTheme="minorEastAsia" w:eastAsiaTheme="minorEastAsia"/>
                <w:b/>
                <w:color w:val="auto"/>
                <w:sz w:val="24"/>
                <w:szCs w:val="24"/>
                <w:highlight w:val="none"/>
              </w:rPr>
              <w:t>构成；13.证明投标人合格和资格</w:t>
            </w:r>
            <w:r>
              <w:rPr>
                <w:rFonts w:hint="eastAsia" w:asciiTheme="minorEastAsia" w:hAnsiTheme="minorEastAsia" w:eastAsiaTheme="minorEastAsia"/>
                <w:b/>
                <w:color w:val="auto"/>
                <w:sz w:val="24"/>
                <w:szCs w:val="24"/>
                <w:highlight w:val="none"/>
              </w:rPr>
              <w:t>的</w:t>
            </w:r>
            <w:r>
              <w:rPr>
                <w:rFonts w:asciiTheme="minorEastAsia" w:hAnsiTheme="minorEastAsia" w:eastAsiaTheme="minorEastAsia"/>
                <w:b/>
                <w:color w:val="auto"/>
                <w:sz w:val="24"/>
                <w:szCs w:val="24"/>
                <w:highlight w:val="none"/>
              </w:rPr>
              <w:t>文件；15.投标保证金；17.投标文件的</w:t>
            </w:r>
            <w:r>
              <w:rPr>
                <w:rFonts w:hint="eastAsia" w:asciiTheme="minorEastAsia" w:hAnsiTheme="minorEastAsia" w:eastAsiaTheme="minorEastAsia"/>
                <w:b/>
                <w:color w:val="auto"/>
                <w:sz w:val="24"/>
                <w:szCs w:val="24"/>
                <w:highlight w:val="none"/>
              </w:rPr>
              <w:t>式样</w:t>
            </w:r>
            <w:r>
              <w:rPr>
                <w:rFonts w:asciiTheme="minorEastAsia" w:hAnsiTheme="minorEastAsia" w:eastAsiaTheme="minorEastAsia"/>
                <w:b/>
                <w:color w:val="auto"/>
                <w:sz w:val="24"/>
                <w:szCs w:val="24"/>
                <w:highlight w:val="none"/>
              </w:rPr>
              <w:t>和签署等。要求投标人按招标文件规定，做好自己的投标文件，否则将承担</w:t>
            </w:r>
            <w:r>
              <w:rPr>
                <w:rFonts w:hint="eastAsia" w:asciiTheme="minorEastAsia" w:hAnsiTheme="minorEastAsia" w:eastAsiaTheme="minorEastAsia"/>
                <w:b/>
                <w:color w:val="auto"/>
                <w:sz w:val="24"/>
                <w:szCs w:val="24"/>
                <w:highlight w:val="none"/>
              </w:rPr>
              <w:t>投标被否决</w:t>
            </w:r>
            <w:r>
              <w:rPr>
                <w:rFonts w:asciiTheme="minorEastAsia" w:hAnsiTheme="minorEastAsia" w:eastAsiaTheme="minorEastAsia"/>
                <w:b/>
                <w:color w:val="auto"/>
                <w:sz w:val="24"/>
                <w:szCs w:val="24"/>
                <w:highlight w:val="none"/>
              </w:rPr>
              <w:t>的风险。</w:t>
            </w:r>
          </w:p>
        </w:tc>
      </w:tr>
    </w:tbl>
    <w:p w14:paraId="00DB529A">
      <w:pPr>
        <w:spacing w:line="360" w:lineRule="auto"/>
        <w:ind w:firstLine="723" w:firstLineChars="200"/>
        <w:rPr>
          <w:rFonts w:asciiTheme="minorEastAsia" w:hAnsiTheme="minorEastAsia" w:eastAsiaTheme="minorEastAsia"/>
          <w:b/>
          <w:color w:val="auto"/>
          <w:sz w:val="36"/>
          <w:highlight w:val="none"/>
        </w:rPr>
      </w:pPr>
    </w:p>
    <w:p w14:paraId="78FC99CF">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0DA59F6D">
      <w:pPr>
        <w:spacing w:line="360" w:lineRule="auto"/>
        <w:jc w:val="center"/>
        <w:rPr>
          <w:rFonts w:ascii="黑体" w:hAnsi="黑体" w:eastAsia="黑体"/>
          <w:b/>
          <w:color w:val="auto"/>
          <w:sz w:val="52"/>
          <w:highlight w:val="none"/>
        </w:rPr>
      </w:pPr>
    </w:p>
    <w:p w14:paraId="25E1D5F7">
      <w:pPr>
        <w:spacing w:line="360" w:lineRule="auto"/>
        <w:jc w:val="center"/>
        <w:rPr>
          <w:rFonts w:ascii="黑体" w:hAnsi="黑体" w:eastAsia="黑体"/>
          <w:b/>
          <w:color w:val="auto"/>
          <w:sz w:val="52"/>
          <w:highlight w:val="none"/>
        </w:rPr>
      </w:pPr>
    </w:p>
    <w:p w14:paraId="63DA3580">
      <w:pPr>
        <w:spacing w:line="360" w:lineRule="auto"/>
        <w:jc w:val="center"/>
        <w:rPr>
          <w:rFonts w:ascii="黑体" w:hAnsi="黑体" w:eastAsia="黑体"/>
          <w:b/>
          <w:color w:val="auto"/>
          <w:sz w:val="52"/>
          <w:highlight w:val="none"/>
        </w:rPr>
      </w:pPr>
    </w:p>
    <w:p w14:paraId="4543685C">
      <w:pPr>
        <w:spacing w:line="360" w:lineRule="auto"/>
        <w:jc w:val="center"/>
        <w:rPr>
          <w:rFonts w:ascii="黑体" w:hAnsi="黑体" w:eastAsia="黑体"/>
          <w:b/>
          <w:color w:val="auto"/>
          <w:sz w:val="52"/>
          <w:highlight w:val="none"/>
        </w:rPr>
      </w:pPr>
    </w:p>
    <w:p w14:paraId="46076ABD">
      <w:pPr>
        <w:pStyle w:val="2"/>
        <w:jc w:val="center"/>
        <w:rPr>
          <w:rFonts w:ascii="黑体" w:hAnsi="黑体" w:eastAsia="黑体"/>
          <w:b w:val="0"/>
          <w:color w:val="auto"/>
          <w:sz w:val="52"/>
          <w:highlight w:val="none"/>
        </w:rPr>
      </w:pPr>
      <w:r>
        <w:rPr>
          <w:rFonts w:ascii="黑体" w:hAnsi="黑体" w:eastAsia="黑体"/>
          <w:color w:val="auto"/>
          <w:sz w:val="52"/>
          <w:highlight w:val="none"/>
        </w:rPr>
        <w:t xml:space="preserve"> </w:t>
      </w:r>
      <w:bookmarkStart w:id="2" w:name="_Toc142988042"/>
      <w:r>
        <w:rPr>
          <w:rFonts w:hint="eastAsia" w:ascii="黑体" w:hAnsi="黑体" w:eastAsia="黑体"/>
          <w:color w:val="auto"/>
          <w:sz w:val="52"/>
          <w:highlight w:val="none"/>
        </w:rPr>
        <w:t>合同专用条款</w:t>
      </w:r>
      <w:bookmarkEnd w:id="2"/>
    </w:p>
    <w:p w14:paraId="25969BEB">
      <w:pPr>
        <w:widowControl/>
        <w:jc w:val="left"/>
        <w:rPr>
          <w:rFonts w:asciiTheme="minorEastAsia" w:hAnsiTheme="minorEastAsia" w:eastAsiaTheme="minorEastAsia"/>
          <w:b/>
          <w:color w:val="auto"/>
          <w:sz w:val="36"/>
          <w:highlight w:val="none"/>
        </w:rPr>
      </w:pPr>
    </w:p>
    <w:p w14:paraId="1DE8563F">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75417A7D">
      <w:pPr>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rPr>
        <w:t>合同专用条款</w:t>
      </w:r>
    </w:p>
    <w:p w14:paraId="6C04F1D0">
      <w:pPr>
        <w:spacing w:line="360" w:lineRule="auto"/>
        <w:ind w:firstLine="480" w:firstLineChars="200"/>
        <w:rPr>
          <w:color w:val="auto"/>
          <w:sz w:val="24"/>
          <w:highlight w:val="none"/>
        </w:rPr>
      </w:pPr>
      <w:r>
        <w:rPr>
          <w:rFonts w:hint="eastAsia"/>
          <w:color w:val="auto"/>
          <w:sz w:val="24"/>
          <w:highlight w:val="none"/>
        </w:rPr>
        <w:t>本表关于要采购的货物的具体资料是对合同通用条款的具体补充和修改，如有矛盾，应以本资料表为准。</w:t>
      </w:r>
    </w:p>
    <w:tbl>
      <w:tblPr>
        <w:tblStyle w:val="17"/>
        <w:tblW w:w="91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648"/>
        <w:gridCol w:w="7515"/>
      </w:tblGrid>
      <w:tr w14:paraId="31BAC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14BDA1B1">
            <w:pPr>
              <w:jc w:val="center"/>
              <w:rPr>
                <w:color w:val="auto"/>
                <w:sz w:val="24"/>
                <w:highlight w:val="none"/>
              </w:rPr>
            </w:pPr>
            <w:r>
              <w:rPr>
                <w:rFonts w:hint="eastAsia"/>
                <w:color w:val="auto"/>
                <w:sz w:val="24"/>
                <w:highlight w:val="none"/>
              </w:rPr>
              <w:t>条款号</w:t>
            </w:r>
          </w:p>
        </w:tc>
        <w:tc>
          <w:tcPr>
            <w:tcW w:w="7515" w:type="dxa"/>
            <w:vAlign w:val="center"/>
          </w:tcPr>
          <w:p w14:paraId="49F0B0C8">
            <w:pPr>
              <w:jc w:val="center"/>
              <w:rPr>
                <w:color w:val="auto"/>
                <w:sz w:val="24"/>
                <w:highlight w:val="none"/>
              </w:rPr>
            </w:pPr>
            <w:r>
              <w:rPr>
                <w:rFonts w:hint="eastAsia"/>
                <w:color w:val="auto"/>
                <w:sz w:val="24"/>
                <w:highlight w:val="none"/>
              </w:rPr>
              <w:t>内</w:t>
            </w:r>
            <w:r>
              <w:rPr>
                <w:color w:val="auto"/>
                <w:sz w:val="24"/>
                <w:highlight w:val="none"/>
              </w:rPr>
              <w:t xml:space="preserve">      </w:t>
            </w:r>
            <w:r>
              <w:rPr>
                <w:rFonts w:hint="eastAsia"/>
                <w:color w:val="auto"/>
                <w:sz w:val="24"/>
                <w:highlight w:val="none"/>
              </w:rPr>
              <w:t>容</w:t>
            </w:r>
          </w:p>
        </w:tc>
      </w:tr>
      <w:tr w14:paraId="29804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5" w:hRule="atLeast"/>
          <w:jc w:val="center"/>
        </w:trPr>
        <w:tc>
          <w:tcPr>
            <w:tcW w:w="1648" w:type="dxa"/>
            <w:tcBorders>
              <w:bottom w:val="single" w:color="auto" w:sz="4" w:space="0"/>
            </w:tcBorders>
            <w:vAlign w:val="center"/>
          </w:tcPr>
          <w:p w14:paraId="663CE2DD">
            <w:pPr>
              <w:jc w:val="center"/>
              <w:rPr>
                <w:color w:val="auto"/>
                <w:sz w:val="24"/>
                <w:highlight w:val="none"/>
              </w:rPr>
            </w:pPr>
            <w:r>
              <w:rPr>
                <w:color w:val="auto"/>
                <w:sz w:val="24"/>
                <w:highlight w:val="none"/>
              </w:rPr>
              <w:t>1.1.1)</w:t>
            </w:r>
          </w:p>
        </w:tc>
        <w:tc>
          <w:tcPr>
            <w:tcW w:w="7515" w:type="dxa"/>
            <w:tcBorders>
              <w:bottom w:val="single" w:color="auto" w:sz="4" w:space="0"/>
            </w:tcBorders>
            <w:vAlign w:val="center"/>
          </w:tcPr>
          <w:p w14:paraId="48D83544">
            <w:pPr>
              <w:jc w:val="left"/>
              <w:rPr>
                <w:rFonts w:ascii="Arial" w:hAnsi="Arial"/>
                <w:color w:val="auto"/>
                <w:sz w:val="24"/>
                <w:highlight w:val="none"/>
              </w:rPr>
            </w:pPr>
            <w:r>
              <w:rPr>
                <w:rFonts w:hint="eastAsia" w:ascii="宋体"/>
                <w:color w:val="auto"/>
                <w:sz w:val="24"/>
                <w:highlight w:val="none"/>
              </w:rPr>
              <w:t>卖方在签定合同前应向买方提供货物的详细配置清单，以便到货时验收。</w:t>
            </w:r>
          </w:p>
        </w:tc>
      </w:tr>
      <w:tr w14:paraId="00B08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5" w:hRule="atLeast"/>
          <w:jc w:val="center"/>
        </w:trPr>
        <w:tc>
          <w:tcPr>
            <w:tcW w:w="1648" w:type="dxa"/>
            <w:tcBorders>
              <w:bottom w:val="single" w:color="auto" w:sz="4" w:space="0"/>
            </w:tcBorders>
            <w:vAlign w:val="center"/>
          </w:tcPr>
          <w:p w14:paraId="39BC66B8">
            <w:pPr>
              <w:jc w:val="center"/>
              <w:rPr>
                <w:color w:val="auto"/>
                <w:sz w:val="24"/>
                <w:highlight w:val="none"/>
              </w:rPr>
            </w:pPr>
            <w:r>
              <w:rPr>
                <w:color w:val="auto"/>
                <w:sz w:val="24"/>
                <w:highlight w:val="none"/>
              </w:rPr>
              <w:t>1.1.3)</w:t>
            </w:r>
          </w:p>
        </w:tc>
        <w:tc>
          <w:tcPr>
            <w:tcW w:w="7515" w:type="dxa"/>
            <w:tcBorders>
              <w:bottom w:val="single" w:color="auto" w:sz="4" w:space="0"/>
            </w:tcBorders>
            <w:vAlign w:val="center"/>
          </w:tcPr>
          <w:p w14:paraId="0BBD8553">
            <w:pPr>
              <w:jc w:val="left"/>
              <w:rPr>
                <w:color w:val="auto"/>
                <w:sz w:val="24"/>
                <w:highlight w:val="none"/>
              </w:rPr>
            </w:pPr>
            <w:r>
              <w:rPr>
                <w:rFonts w:hint="eastAsia" w:ascii="Arial" w:hAnsi="Arial"/>
                <w:color w:val="auto"/>
                <w:sz w:val="24"/>
                <w:highlight w:val="none"/>
              </w:rPr>
              <w:t>提供合同货物全套主机、辅机和随机附件</w:t>
            </w:r>
          </w:p>
        </w:tc>
      </w:tr>
      <w:tr w14:paraId="5E436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5" w:hRule="atLeast"/>
          <w:jc w:val="center"/>
        </w:trPr>
        <w:tc>
          <w:tcPr>
            <w:tcW w:w="1648" w:type="dxa"/>
            <w:tcBorders>
              <w:bottom w:val="single" w:color="auto" w:sz="4" w:space="0"/>
            </w:tcBorders>
            <w:vAlign w:val="center"/>
          </w:tcPr>
          <w:p w14:paraId="0FCCCFC1">
            <w:pPr>
              <w:jc w:val="center"/>
              <w:rPr>
                <w:color w:val="auto"/>
                <w:sz w:val="24"/>
                <w:highlight w:val="none"/>
              </w:rPr>
            </w:pPr>
            <w:r>
              <w:rPr>
                <w:color w:val="auto"/>
                <w:sz w:val="24"/>
                <w:highlight w:val="none"/>
              </w:rPr>
              <w:t>1.1.7)</w:t>
            </w:r>
          </w:p>
        </w:tc>
        <w:tc>
          <w:tcPr>
            <w:tcW w:w="7515" w:type="dxa"/>
            <w:tcBorders>
              <w:bottom w:val="single" w:color="auto" w:sz="4" w:space="0"/>
            </w:tcBorders>
            <w:vAlign w:val="center"/>
          </w:tcPr>
          <w:p w14:paraId="3F4AD5D0">
            <w:pPr>
              <w:jc w:val="left"/>
              <w:rPr>
                <w:rFonts w:hint="eastAsia" w:eastAsia="宋体"/>
                <w:color w:val="auto"/>
                <w:sz w:val="24"/>
                <w:highlight w:val="none"/>
                <w:lang w:eastAsia="zh-CN"/>
              </w:rPr>
            </w:pPr>
            <w:r>
              <w:rPr>
                <w:rFonts w:hint="eastAsia"/>
                <w:color w:val="auto"/>
                <w:sz w:val="24"/>
                <w:highlight w:val="none"/>
              </w:rPr>
              <w:t>买方名称：</w:t>
            </w:r>
            <w:r>
              <w:rPr>
                <w:rFonts w:hint="eastAsia" w:ascii="宋体" w:hAnsi="宋体" w:cs="宋体"/>
                <w:color w:val="auto"/>
                <w:kern w:val="0"/>
                <w:sz w:val="24"/>
                <w:szCs w:val="24"/>
                <w:highlight w:val="none"/>
                <w:lang w:eastAsia="zh-CN"/>
              </w:rPr>
              <w:t>宁波威孚天力增压技术股份有限公司</w:t>
            </w:r>
          </w:p>
          <w:p w14:paraId="34F96278">
            <w:pPr>
              <w:jc w:val="left"/>
              <w:rPr>
                <w:color w:val="auto"/>
                <w:sz w:val="24"/>
                <w:highlight w:val="none"/>
              </w:rPr>
            </w:pPr>
            <w:r>
              <w:rPr>
                <w:rFonts w:hint="eastAsia" w:ascii="Arial" w:hAnsi="Arial"/>
                <w:color w:val="auto"/>
                <w:sz w:val="24"/>
                <w:highlight w:val="none"/>
              </w:rPr>
              <w:t>外贸代理公司名称：待定</w:t>
            </w:r>
          </w:p>
        </w:tc>
      </w:tr>
      <w:tr w14:paraId="462E57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648" w:type="dxa"/>
            <w:tcBorders>
              <w:top w:val="single" w:color="auto" w:sz="4" w:space="0"/>
              <w:bottom w:val="single" w:color="auto" w:sz="4" w:space="0"/>
            </w:tcBorders>
            <w:vAlign w:val="center"/>
          </w:tcPr>
          <w:p w14:paraId="5AA9B76B">
            <w:pPr>
              <w:jc w:val="center"/>
              <w:rPr>
                <w:color w:val="auto"/>
                <w:sz w:val="24"/>
                <w:highlight w:val="none"/>
              </w:rPr>
            </w:pPr>
            <w:r>
              <w:rPr>
                <w:color w:val="auto"/>
                <w:sz w:val="24"/>
                <w:highlight w:val="none"/>
              </w:rPr>
              <w:t>1.1.8)</w:t>
            </w:r>
          </w:p>
        </w:tc>
        <w:tc>
          <w:tcPr>
            <w:tcW w:w="7515" w:type="dxa"/>
            <w:tcBorders>
              <w:top w:val="single" w:color="auto" w:sz="4" w:space="0"/>
              <w:bottom w:val="single" w:color="auto" w:sz="4" w:space="0"/>
            </w:tcBorders>
            <w:vAlign w:val="center"/>
          </w:tcPr>
          <w:p w14:paraId="3BEE75EA">
            <w:pPr>
              <w:rPr>
                <w:color w:val="auto"/>
                <w:sz w:val="24"/>
                <w:highlight w:val="none"/>
              </w:rPr>
            </w:pPr>
            <w:r>
              <w:rPr>
                <w:rFonts w:hint="eastAsia" w:ascii="Arial" w:hAnsi="Arial"/>
                <w:color w:val="auto"/>
                <w:sz w:val="24"/>
                <w:highlight w:val="none"/>
              </w:rPr>
              <w:t>卖方名称：待定</w:t>
            </w:r>
          </w:p>
        </w:tc>
      </w:tr>
      <w:tr w14:paraId="7452C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5" w:hRule="atLeast"/>
          <w:jc w:val="center"/>
        </w:trPr>
        <w:tc>
          <w:tcPr>
            <w:tcW w:w="1648" w:type="dxa"/>
            <w:tcBorders>
              <w:top w:val="single" w:color="auto" w:sz="4" w:space="0"/>
              <w:bottom w:val="single" w:color="auto" w:sz="4" w:space="0"/>
            </w:tcBorders>
            <w:vAlign w:val="center"/>
          </w:tcPr>
          <w:p w14:paraId="7ACD1974">
            <w:pPr>
              <w:jc w:val="center"/>
              <w:rPr>
                <w:color w:val="auto"/>
                <w:sz w:val="24"/>
                <w:highlight w:val="none"/>
              </w:rPr>
            </w:pPr>
            <w:r>
              <w:rPr>
                <w:color w:val="auto"/>
                <w:sz w:val="24"/>
                <w:highlight w:val="none"/>
              </w:rPr>
              <w:t>1.1.10)</w:t>
            </w:r>
          </w:p>
        </w:tc>
        <w:tc>
          <w:tcPr>
            <w:tcW w:w="7515" w:type="dxa"/>
            <w:tcBorders>
              <w:top w:val="single" w:color="auto" w:sz="4" w:space="0"/>
              <w:bottom w:val="single" w:color="auto" w:sz="4" w:space="0"/>
            </w:tcBorders>
            <w:vAlign w:val="center"/>
          </w:tcPr>
          <w:p w14:paraId="295671A6">
            <w:pPr>
              <w:rPr>
                <w:rFonts w:hint="eastAsia" w:ascii="Arial" w:hAnsi="Arial" w:eastAsia="宋体"/>
                <w:color w:val="auto"/>
                <w:sz w:val="24"/>
                <w:highlight w:val="none"/>
                <w:lang w:eastAsia="zh-CN"/>
              </w:rPr>
            </w:pPr>
            <w:r>
              <w:rPr>
                <w:rFonts w:hint="eastAsia"/>
                <w:color w:val="auto"/>
                <w:sz w:val="24"/>
                <w:highlight w:val="none"/>
              </w:rPr>
              <w:t>项目现场：</w:t>
            </w:r>
            <w:r>
              <w:rPr>
                <w:rFonts w:hint="eastAsia"/>
                <w:color w:val="auto"/>
                <w:sz w:val="24"/>
                <w:highlight w:val="none"/>
                <w:lang w:val="en-US" w:eastAsia="zh-CN"/>
              </w:rPr>
              <w:t>宁波</w:t>
            </w:r>
          </w:p>
        </w:tc>
      </w:tr>
      <w:tr w14:paraId="27FE0C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2697A926">
            <w:pPr>
              <w:jc w:val="center"/>
              <w:rPr>
                <w:color w:val="auto"/>
                <w:sz w:val="24"/>
                <w:highlight w:val="none"/>
              </w:rPr>
            </w:pPr>
            <w:r>
              <w:rPr>
                <w:color w:val="auto"/>
                <w:sz w:val="24"/>
                <w:highlight w:val="none"/>
              </w:rPr>
              <w:t>4.1</w:t>
            </w:r>
          </w:p>
        </w:tc>
        <w:tc>
          <w:tcPr>
            <w:tcW w:w="7515" w:type="dxa"/>
            <w:vAlign w:val="center"/>
          </w:tcPr>
          <w:p w14:paraId="2340EAF4">
            <w:pPr>
              <w:rPr>
                <w:rFonts w:ascii="宋体" w:hAnsi="宋体"/>
                <w:color w:val="auto"/>
                <w:sz w:val="24"/>
                <w:highlight w:val="none"/>
              </w:rPr>
            </w:pPr>
            <w:r>
              <w:rPr>
                <w:rFonts w:hint="eastAsia" w:ascii="宋体" w:hAnsi="宋体"/>
                <w:color w:val="auto"/>
                <w:sz w:val="24"/>
                <w:highlight w:val="none"/>
              </w:rPr>
              <w:t>本合同下交付的货物应符合招标文件技术规格书中明确的标准和技术要求。如果招标文件技术规格书中没有提及适用标准，则应符合下列标准：</w:t>
            </w:r>
          </w:p>
          <w:p w14:paraId="0C824572">
            <w:pPr>
              <w:ind w:left="107" w:leftChars="50" w:hanging="2"/>
              <w:rPr>
                <w:rFonts w:ascii="宋体" w:hAnsi="宋体"/>
                <w:color w:val="auto"/>
                <w:sz w:val="24"/>
                <w:highlight w:val="none"/>
              </w:rPr>
            </w:pPr>
            <w:r>
              <w:rPr>
                <w:rFonts w:hint="eastAsia" w:ascii="Arial" w:hAnsi="Arial"/>
                <w:color w:val="auto"/>
                <w:sz w:val="24"/>
                <w:highlight w:val="none"/>
              </w:rPr>
              <w:t>1）</w:t>
            </w:r>
            <w:r>
              <w:rPr>
                <w:rFonts w:hint="eastAsia" w:ascii="宋体" w:hAnsi="宋体"/>
                <w:color w:val="auto"/>
                <w:sz w:val="24"/>
                <w:highlight w:val="none"/>
              </w:rPr>
              <w:t>与合同货物</w:t>
            </w:r>
            <w:r>
              <w:rPr>
                <w:rFonts w:hint="eastAsia" w:ascii="Arial" w:hAnsi="Arial"/>
                <w:color w:val="auto"/>
                <w:sz w:val="24"/>
                <w:highlight w:val="none"/>
              </w:rPr>
              <w:t>制造及验收</w:t>
            </w:r>
            <w:r>
              <w:rPr>
                <w:rFonts w:hint="eastAsia" w:ascii="宋体" w:hAnsi="宋体"/>
                <w:color w:val="auto"/>
                <w:sz w:val="24"/>
                <w:highlight w:val="none"/>
              </w:rPr>
              <w:t>有关的最新有效版本的</w:t>
            </w:r>
            <w:r>
              <w:rPr>
                <w:rFonts w:hint="eastAsia" w:ascii="Arial" w:hAnsi="Arial"/>
                <w:color w:val="auto"/>
                <w:sz w:val="24"/>
                <w:highlight w:val="none"/>
              </w:rPr>
              <w:t>中华人民共和国</w:t>
            </w:r>
            <w:r>
              <w:rPr>
                <w:rFonts w:hint="eastAsia" w:ascii="宋体" w:hAnsi="宋体"/>
                <w:color w:val="auto"/>
                <w:sz w:val="24"/>
                <w:highlight w:val="none"/>
              </w:rPr>
              <w:t>国家标准</w:t>
            </w:r>
            <w:r>
              <w:rPr>
                <w:rFonts w:ascii="宋体" w:hAnsi="宋体"/>
                <w:color w:val="auto"/>
                <w:sz w:val="24"/>
                <w:highlight w:val="none"/>
              </w:rPr>
              <w:t>/</w:t>
            </w:r>
            <w:r>
              <w:rPr>
                <w:rFonts w:hint="eastAsia" w:ascii="宋体" w:hAnsi="宋体"/>
                <w:color w:val="auto"/>
                <w:sz w:val="24"/>
                <w:highlight w:val="none"/>
              </w:rPr>
              <w:t>国际标准；</w:t>
            </w:r>
            <w:r>
              <w:rPr>
                <w:rFonts w:ascii="Arial" w:hAnsi="Arial"/>
                <w:color w:val="auto"/>
                <w:sz w:val="24"/>
                <w:highlight w:val="none"/>
              </w:rPr>
              <w:t xml:space="preserve"> </w:t>
            </w:r>
            <w:r>
              <w:rPr>
                <w:rFonts w:hint="eastAsia" w:ascii="Arial" w:hAnsi="Arial"/>
                <w:color w:val="auto"/>
                <w:sz w:val="24"/>
                <w:highlight w:val="none"/>
              </w:rPr>
              <w:t>或</w:t>
            </w:r>
          </w:p>
          <w:p w14:paraId="7CAEDFBB">
            <w:pPr>
              <w:ind w:left="107" w:leftChars="50" w:hanging="2"/>
              <w:rPr>
                <w:rFonts w:ascii="Arial" w:hAnsi="Arial"/>
                <w:color w:val="auto"/>
                <w:sz w:val="24"/>
                <w:highlight w:val="none"/>
              </w:rPr>
            </w:pPr>
            <w:r>
              <w:rPr>
                <w:rFonts w:hint="eastAsia" w:ascii="Arial" w:hAnsi="Arial"/>
                <w:color w:val="auto"/>
                <w:sz w:val="24"/>
                <w:highlight w:val="none"/>
              </w:rPr>
              <w:t>2）经</w:t>
            </w:r>
            <w:r>
              <w:rPr>
                <w:rFonts w:hint="eastAsia" w:ascii="宋体" w:hAnsi="宋体"/>
                <w:color w:val="auto"/>
                <w:sz w:val="24"/>
                <w:highlight w:val="none"/>
              </w:rPr>
              <w:t>买方确认的，</w:t>
            </w:r>
            <w:r>
              <w:rPr>
                <w:rFonts w:hint="eastAsia" w:ascii="Arial" w:hAnsi="Arial"/>
                <w:color w:val="auto"/>
                <w:sz w:val="24"/>
                <w:highlight w:val="none"/>
              </w:rPr>
              <w:t>卖方随投标文件提供的，</w:t>
            </w:r>
            <w:r>
              <w:rPr>
                <w:rFonts w:hint="eastAsia" w:ascii="宋体" w:hAnsi="宋体"/>
                <w:color w:val="auto"/>
                <w:sz w:val="24"/>
                <w:highlight w:val="none"/>
              </w:rPr>
              <w:t>与合同货物</w:t>
            </w:r>
            <w:r>
              <w:rPr>
                <w:rFonts w:hint="eastAsia" w:ascii="Arial" w:hAnsi="Arial"/>
                <w:color w:val="auto"/>
                <w:sz w:val="24"/>
                <w:highlight w:val="none"/>
              </w:rPr>
              <w:t>制造及验收</w:t>
            </w:r>
            <w:r>
              <w:rPr>
                <w:rFonts w:hint="eastAsia" w:ascii="宋体" w:hAnsi="宋体"/>
                <w:color w:val="auto"/>
                <w:sz w:val="24"/>
                <w:highlight w:val="none"/>
              </w:rPr>
              <w:t>有关的，最新有效版本的</w:t>
            </w:r>
            <w:r>
              <w:rPr>
                <w:rFonts w:hint="eastAsia" w:ascii="Arial" w:hAnsi="Arial"/>
                <w:color w:val="auto"/>
                <w:sz w:val="24"/>
                <w:highlight w:val="none"/>
              </w:rPr>
              <w:t>货物制造国的官方标准；或</w:t>
            </w:r>
          </w:p>
          <w:p w14:paraId="5BCA0769">
            <w:pPr>
              <w:ind w:left="107" w:leftChars="50" w:hanging="2"/>
              <w:rPr>
                <w:rFonts w:ascii="宋体" w:hAnsi="宋体"/>
                <w:color w:val="auto"/>
                <w:sz w:val="24"/>
                <w:highlight w:val="none"/>
              </w:rPr>
            </w:pPr>
            <w:r>
              <w:rPr>
                <w:rFonts w:hint="eastAsia" w:ascii="Arial" w:hAnsi="Arial"/>
                <w:color w:val="auto"/>
                <w:sz w:val="24"/>
                <w:highlight w:val="none"/>
              </w:rPr>
              <w:t>3）卖方随投标文件提供的货物验收大纲，经</w:t>
            </w:r>
            <w:r>
              <w:rPr>
                <w:rFonts w:hint="eastAsia" w:ascii="宋体" w:hAnsi="宋体"/>
                <w:color w:val="auto"/>
                <w:sz w:val="24"/>
                <w:highlight w:val="none"/>
              </w:rPr>
              <w:t>买方确认后，</w:t>
            </w:r>
            <w:r>
              <w:rPr>
                <w:rFonts w:hint="eastAsia" w:ascii="Arial" w:hAnsi="Arial"/>
                <w:color w:val="auto"/>
                <w:sz w:val="24"/>
                <w:highlight w:val="none"/>
              </w:rPr>
              <w:t>将作为对货物的验收依据之一；</w:t>
            </w:r>
          </w:p>
          <w:p w14:paraId="708B385C">
            <w:pPr>
              <w:ind w:left="107" w:leftChars="50" w:hanging="2"/>
              <w:rPr>
                <w:color w:val="auto"/>
                <w:sz w:val="24"/>
                <w:highlight w:val="none"/>
              </w:rPr>
            </w:pPr>
            <w:r>
              <w:rPr>
                <w:rFonts w:hint="eastAsia" w:ascii="Arial" w:hAnsi="Arial"/>
                <w:color w:val="auto"/>
                <w:sz w:val="24"/>
                <w:highlight w:val="none"/>
              </w:rPr>
              <w:t>4）</w:t>
            </w:r>
            <w:r>
              <w:rPr>
                <w:rFonts w:hint="eastAsia" w:ascii="宋体" w:hAnsi="宋体"/>
                <w:color w:val="auto"/>
                <w:sz w:val="24"/>
                <w:highlight w:val="none"/>
              </w:rPr>
              <w:t>卖方在澄清投标文件时作出的承诺，</w:t>
            </w:r>
            <w:r>
              <w:rPr>
                <w:rFonts w:hint="eastAsia" w:ascii="Arial" w:hAnsi="Arial"/>
                <w:color w:val="auto"/>
                <w:sz w:val="24"/>
                <w:highlight w:val="none"/>
              </w:rPr>
              <w:t>经</w:t>
            </w:r>
            <w:r>
              <w:rPr>
                <w:rFonts w:hint="eastAsia" w:ascii="宋体" w:hAnsi="宋体"/>
                <w:color w:val="auto"/>
                <w:sz w:val="24"/>
                <w:highlight w:val="none"/>
              </w:rPr>
              <w:t>买方确认后，</w:t>
            </w:r>
            <w:r>
              <w:rPr>
                <w:rFonts w:hint="eastAsia" w:ascii="Arial" w:hAnsi="Arial"/>
                <w:color w:val="auto"/>
                <w:sz w:val="24"/>
                <w:highlight w:val="none"/>
              </w:rPr>
              <w:t>将作为对货物的验收依据之一。</w:t>
            </w:r>
          </w:p>
        </w:tc>
      </w:tr>
      <w:tr w14:paraId="2A42E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58408CC5">
            <w:pPr>
              <w:jc w:val="center"/>
              <w:rPr>
                <w:color w:val="auto"/>
                <w:sz w:val="24"/>
                <w:highlight w:val="none"/>
              </w:rPr>
            </w:pPr>
            <w:r>
              <w:rPr>
                <w:color w:val="auto"/>
                <w:sz w:val="24"/>
                <w:highlight w:val="none"/>
              </w:rPr>
              <w:t>7.1</w:t>
            </w:r>
          </w:p>
        </w:tc>
        <w:tc>
          <w:tcPr>
            <w:tcW w:w="7515" w:type="dxa"/>
            <w:vAlign w:val="center"/>
          </w:tcPr>
          <w:p w14:paraId="3F653F87">
            <w:pPr>
              <w:jc w:val="left"/>
              <w:rPr>
                <w:color w:val="auto"/>
                <w:sz w:val="24"/>
                <w:highlight w:val="none"/>
              </w:rPr>
            </w:pPr>
            <w:r>
              <w:rPr>
                <w:rFonts w:hint="eastAsia"/>
                <w:color w:val="auto"/>
                <w:sz w:val="24"/>
                <w:highlight w:val="none"/>
              </w:rPr>
              <w:t>履约保证金金额：合同金额的1</w:t>
            </w:r>
            <w:r>
              <w:rPr>
                <w:color w:val="auto"/>
                <w:sz w:val="24"/>
                <w:highlight w:val="none"/>
              </w:rPr>
              <w:t>0%</w:t>
            </w:r>
          </w:p>
        </w:tc>
      </w:tr>
      <w:tr w14:paraId="6A6EEB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648" w:type="dxa"/>
            <w:vAlign w:val="center"/>
          </w:tcPr>
          <w:p w14:paraId="64E4B984">
            <w:pPr>
              <w:jc w:val="center"/>
              <w:rPr>
                <w:color w:val="auto"/>
                <w:sz w:val="24"/>
                <w:highlight w:val="none"/>
              </w:rPr>
            </w:pPr>
            <w:r>
              <w:rPr>
                <w:color w:val="auto"/>
                <w:sz w:val="24"/>
                <w:highlight w:val="none"/>
              </w:rPr>
              <w:t>7.3</w:t>
            </w:r>
          </w:p>
        </w:tc>
        <w:tc>
          <w:tcPr>
            <w:tcW w:w="7515" w:type="dxa"/>
            <w:vAlign w:val="center"/>
          </w:tcPr>
          <w:p w14:paraId="35ADDFC9">
            <w:pPr>
              <w:jc w:val="left"/>
              <w:rPr>
                <w:color w:val="auto"/>
                <w:sz w:val="24"/>
                <w:highlight w:val="none"/>
              </w:rPr>
            </w:pPr>
            <w:r>
              <w:rPr>
                <w:rFonts w:hint="eastAsia"/>
                <w:color w:val="auto"/>
                <w:sz w:val="24"/>
                <w:highlight w:val="none"/>
              </w:rPr>
              <w:t>履约保证金形式：银行保函</w:t>
            </w:r>
          </w:p>
        </w:tc>
      </w:tr>
      <w:tr w14:paraId="46F14B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3" w:hRule="atLeast"/>
          <w:jc w:val="center"/>
        </w:trPr>
        <w:tc>
          <w:tcPr>
            <w:tcW w:w="1648" w:type="dxa"/>
            <w:vAlign w:val="center"/>
          </w:tcPr>
          <w:p w14:paraId="3C5CB424">
            <w:pPr>
              <w:jc w:val="center"/>
              <w:rPr>
                <w:color w:val="auto"/>
                <w:sz w:val="24"/>
                <w:highlight w:val="none"/>
              </w:rPr>
            </w:pPr>
            <w:r>
              <w:rPr>
                <w:color w:val="auto"/>
                <w:sz w:val="24"/>
                <w:highlight w:val="none"/>
              </w:rPr>
              <w:t>11.1.5)</w:t>
            </w:r>
          </w:p>
        </w:tc>
        <w:tc>
          <w:tcPr>
            <w:tcW w:w="7515" w:type="dxa"/>
            <w:vAlign w:val="center"/>
          </w:tcPr>
          <w:p w14:paraId="13D418B5">
            <w:pPr>
              <w:jc w:val="left"/>
              <w:rPr>
                <w:color w:val="auto"/>
                <w:sz w:val="24"/>
                <w:highlight w:val="none"/>
              </w:rPr>
            </w:pPr>
            <w:r>
              <w:rPr>
                <w:rFonts w:hint="eastAsia"/>
                <w:color w:val="auto"/>
                <w:sz w:val="24"/>
                <w:highlight w:val="none"/>
              </w:rPr>
              <w:t>目的港：中国宁波港</w:t>
            </w:r>
          </w:p>
        </w:tc>
      </w:tr>
      <w:tr w14:paraId="399F8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3" w:hRule="atLeast"/>
          <w:jc w:val="center"/>
        </w:trPr>
        <w:tc>
          <w:tcPr>
            <w:tcW w:w="1648" w:type="dxa"/>
            <w:vAlign w:val="center"/>
          </w:tcPr>
          <w:p w14:paraId="31F23FB6">
            <w:pPr>
              <w:jc w:val="center"/>
              <w:rPr>
                <w:color w:val="auto"/>
                <w:sz w:val="24"/>
                <w:highlight w:val="none"/>
              </w:rPr>
            </w:pPr>
            <w:r>
              <w:rPr>
                <w:color w:val="auto"/>
                <w:sz w:val="24"/>
                <w:highlight w:val="none"/>
              </w:rPr>
              <w:t>13</w:t>
            </w:r>
          </w:p>
        </w:tc>
        <w:tc>
          <w:tcPr>
            <w:tcW w:w="7515" w:type="dxa"/>
            <w:vAlign w:val="center"/>
          </w:tcPr>
          <w:p w14:paraId="3583049B">
            <w:pPr>
              <w:numPr>
                <w:ilvl w:val="0"/>
                <w:numId w:val="3"/>
              </w:numPr>
              <w:jc w:val="left"/>
              <w:rPr>
                <w:color w:val="auto"/>
                <w:sz w:val="24"/>
                <w:highlight w:val="none"/>
              </w:rPr>
            </w:pPr>
            <w:r>
              <w:rPr>
                <w:rFonts w:hint="eastAsia"/>
                <w:color w:val="auto"/>
                <w:sz w:val="24"/>
                <w:highlight w:val="none"/>
              </w:rPr>
              <w:t>货物随箱应有下列资料（一式二份）</w:t>
            </w:r>
          </w:p>
          <w:p w14:paraId="7E547FD4">
            <w:pPr>
              <w:jc w:val="left"/>
              <w:rPr>
                <w:color w:val="auto"/>
                <w:sz w:val="24"/>
                <w:highlight w:val="none"/>
              </w:rPr>
            </w:pPr>
            <w:r>
              <w:rPr>
                <w:color w:val="auto"/>
                <w:sz w:val="24"/>
                <w:highlight w:val="none"/>
              </w:rPr>
              <w:t xml:space="preserve"> a:</w:t>
            </w:r>
            <w:r>
              <w:rPr>
                <w:rFonts w:hint="eastAsia"/>
                <w:color w:val="auto"/>
                <w:sz w:val="24"/>
                <w:highlight w:val="none"/>
              </w:rPr>
              <w:t>详细装箱单（每箱件一单）</w:t>
            </w:r>
          </w:p>
          <w:p w14:paraId="0AB8D9D6">
            <w:pPr>
              <w:jc w:val="left"/>
              <w:rPr>
                <w:color w:val="auto"/>
                <w:sz w:val="24"/>
                <w:highlight w:val="none"/>
              </w:rPr>
            </w:pPr>
            <w:r>
              <w:rPr>
                <w:color w:val="auto"/>
                <w:sz w:val="24"/>
                <w:highlight w:val="none"/>
              </w:rPr>
              <w:t xml:space="preserve"> b:</w:t>
            </w:r>
            <w:r>
              <w:rPr>
                <w:rFonts w:hint="eastAsia"/>
                <w:color w:val="auto"/>
                <w:sz w:val="24"/>
                <w:highlight w:val="none"/>
              </w:rPr>
              <w:t>产品合格证及检验纪录；</w:t>
            </w:r>
          </w:p>
          <w:p w14:paraId="708996EB">
            <w:pPr>
              <w:jc w:val="left"/>
              <w:rPr>
                <w:color w:val="auto"/>
                <w:sz w:val="24"/>
                <w:highlight w:val="none"/>
              </w:rPr>
            </w:pPr>
            <w:r>
              <w:rPr>
                <w:color w:val="auto"/>
                <w:sz w:val="24"/>
                <w:highlight w:val="none"/>
              </w:rPr>
              <w:t xml:space="preserve"> c</w:t>
            </w:r>
            <w:r>
              <w:rPr>
                <w:rFonts w:hint="eastAsia"/>
                <w:color w:val="auto"/>
                <w:sz w:val="24"/>
                <w:highlight w:val="none"/>
              </w:rPr>
              <w:t>：随机备件清单；</w:t>
            </w:r>
          </w:p>
          <w:p w14:paraId="696FADB4">
            <w:pPr>
              <w:jc w:val="left"/>
              <w:rPr>
                <w:color w:val="auto"/>
                <w:sz w:val="24"/>
                <w:highlight w:val="none"/>
              </w:rPr>
            </w:pPr>
            <w:r>
              <w:rPr>
                <w:rFonts w:hint="eastAsia"/>
                <w:color w:val="auto"/>
                <w:sz w:val="24"/>
                <w:highlight w:val="none"/>
              </w:rPr>
              <w:t>2．卖方须向买方提供工作手册、维护手册（包括详细的技术资料、维修线路图、软件等）；</w:t>
            </w:r>
          </w:p>
          <w:p w14:paraId="7C67C7CD">
            <w:pPr>
              <w:jc w:val="left"/>
              <w:rPr>
                <w:color w:val="auto"/>
                <w:sz w:val="24"/>
                <w:highlight w:val="none"/>
              </w:rPr>
            </w:pPr>
            <w:r>
              <w:rPr>
                <w:color w:val="auto"/>
                <w:sz w:val="24"/>
                <w:highlight w:val="none"/>
              </w:rPr>
              <w:t>3</w:t>
            </w:r>
            <w:r>
              <w:rPr>
                <w:rFonts w:hint="eastAsia"/>
                <w:color w:val="auto"/>
                <w:sz w:val="24"/>
                <w:highlight w:val="none"/>
              </w:rPr>
              <w:t>．卖方须向买方提供货物的运行、安装使用环境要求、施工图纸及参数；</w:t>
            </w:r>
          </w:p>
          <w:p w14:paraId="3468F584">
            <w:pPr>
              <w:jc w:val="left"/>
              <w:rPr>
                <w:color w:val="auto"/>
                <w:sz w:val="24"/>
                <w:highlight w:val="none"/>
              </w:rPr>
            </w:pPr>
            <w:r>
              <w:rPr>
                <w:rFonts w:hint="eastAsia"/>
                <w:color w:val="auto"/>
                <w:sz w:val="24"/>
                <w:highlight w:val="none"/>
              </w:rPr>
              <w:t>4．中标人在货物包装后，应立即将装箱单邮寄买方，一式二份。产品中如有外购配件也一并列入装箱单。办妥托运手续后，立即将有关情况告之。</w:t>
            </w:r>
          </w:p>
        </w:tc>
      </w:tr>
      <w:tr w14:paraId="229D6E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91BBB1D">
            <w:pPr>
              <w:jc w:val="center"/>
              <w:rPr>
                <w:color w:val="auto"/>
                <w:sz w:val="24"/>
                <w:highlight w:val="none"/>
              </w:rPr>
            </w:pPr>
            <w:r>
              <w:rPr>
                <w:color w:val="auto"/>
                <w:sz w:val="24"/>
                <w:highlight w:val="none"/>
              </w:rPr>
              <w:t>16.</w:t>
            </w:r>
          </w:p>
        </w:tc>
        <w:tc>
          <w:tcPr>
            <w:tcW w:w="7515" w:type="dxa"/>
            <w:vAlign w:val="center"/>
          </w:tcPr>
          <w:p w14:paraId="77E6136F">
            <w:pPr>
              <w:jc w:val="left"/>
              <w:rPr>
                <w:color w:val="auto"/>
                <w:sz w:val="24"/>
                <w:highlight w:val="none"/>
              </w:rPr>
            </w:pPr>
            <w:r>
              <w:rPr>
                <w:rFonts w:hint="eastAsia"/>
                <w:color w:val="auto"/>
                <w:sz w:val="24"/>
                <w:highlight w:val="none"/>
              </w:rPr>
              <w:t>伴随服务：</w:t>
            </w:r>
          </w:p>
          <w:p w14:paraId="5084899A">
            <w:pPr>
              <w:numPr>
                <w:ilvl w:val="0"/>
                <w:numId w:val="4"/>
              </w:numPr>
              <w:rPr>
                <w:rFonts w:ascii="Arial" w:hAnsi="Arial"/>
                <w:color w:val="auto"/>
                <w:sz w:val="24"/>
                <w:highlight w:val="none"/>
              </w:rPr>
            </w:pPr>
            <w:r>
              <w:rPr>
                <w:rFonts w:hint="eastAsia" w:ascii="Arial" w:hAnsi="Arial"/>
                <w:color w:val="auto"/>
                <w:sz w:val="24"/>
                <w:highlight w:val="none"/>
              </w:rPr>
              <w:t>提供保证货物在质保期内正常运行所需的随机备品备件、易损件。</w:t>
            </w:r>
          </w:p>
          <w:p w14:paraId="079FB197">
            <w:pPr>
              <w:numPr>
                <w:ilvl w:val="0"/>
                <w:numId w:val="4"/>
              </w:numPr>
              <w:rPr>
                <w:rFonts w:ascii="Arial" w:hAnsi="Arial"/>
                <w:color w:val="auto"/>
                <w:sz w:val="24"/>
                <w:highlight w:val="none"/>
              </w:rPr>
            </w:pPr>
            <w:r>
              <w:rPr>
                <w:rFonts w:hint="eastAsia" w:ascii="宋体" w:hAnsi="宋体"/>
                <w:color w:val="auto"/>
                <w:sz w:val="24"/>
                <w:highlight w:val="none"/>
              </w:rPr>
              <w:t>提供安装和维护所需的专用工具</w:t>
            </w:r>
            <w:r>
              <w:rPr>
                <w:rFonts w:hint="eastAsia" w:ascii="Arial" w:hAnsi="Arial"/>
                <w:color w:val="auto"/>
                <w:sz w:val="24"/>
                <w:highlight w:val="none"/>
              </w:rPr>
              <w:t>；</w:t>
            </w:r>
          </w:p>
          <w:p w14:paraId="146C9CC3">
            <w:pPr>
              <w:numPr>
                <w:ilvl w:val="0"/>
                <w:numId w:val="4"/>
              </w:numPr>
              <w:rPr>
                <w:rFonts w:ascii="Arial" w:hAnsi="Arial"/>
                <w:color w:val="auto"/>
                <w:sz w:val="24"/>
                <w:highlight w:val="none"/>
              </w:rPr>
            </w:pPr>
            <w:r>
              <w:rPr>
                <w:rFonts w:hint="eastAsia" w:ascii="Arial" w:hAnsi="Arial"/>
                <w:color w:val="auto"/>
                <w:sz w:val="24"/>
                <w:highlight w:val="none"/>
              </w:rPr>
              <w:t>负责至目的港的运输（包括装车、运输和卸车）及</w:t>
            </w:r>
            <w:r>
              <w:rPr>
                <w:rFonts w:hint="eastAsia"/>
                <w:color w:val="auto"/>
                <w:sz w:val="24"/>
                <w:highlight w:val="none"/>
              </w:rPr>
              <w:t>运输保险；</w:t>
            </w:r>
          </w:p>
          <w:p w14:paraId="25C6B371">
            <w:pPr>
              <w:numPr>
                <w:ilvl w:val="0"/>
                <w:numId w:val="4"/>
              </w:numPr>
              <w:rPr>
                <w:rFonts w:ascii="Arial" w:hAnsi="Arial"/>
                <w:color w:val="auto"/>
                <w:sz w:val="24"/>
                <w:highlight w:val="none"/>
                <w:shd w:val="pct10" w:color="auto" w:fill="FFFFFF"/>
              </w:rPr>
            </w:pPr>
            <w:r>
              <w:rPr>
                <w:rFonts w:hint="eastAsia" w:ascii="Arial" w:hAnsi="Arial"/>
                <w:color w:val="auto"/>
                <w:sz w:val="24"/>
                <w:highlight w:val="none"/>
              </w:rPr>
              <w:t>在交货前，制造商应对货物的技术性能参数，进行精确和全面的检测，并出具证明货物与投标文件中技术文件参数相符的检测报告。</w:t>
            </w:r>
          </w:p>
          <w:p w14:paraId="52DEBE48">
            <w:pPr>
              <w:numPr>
                <w:ilvl w:val="0"/>
                <w:numId w:val="4"/>
              </w:numPr>
              <w:rPr>
                <w:rFonts w:ascii="Arial" w:hAnsi="Arial"/>
                <w:color w:val="auto"/>
                <w:sz w:val="24"/>
                <w:highlight w:val="none"/>
              </w:rPr>
            </w:pPr>
            <w:r>
              <w:rPr>
                <w:rFonts w:hint="eastAsia" w:ascii="Arial" w:hAnsi="Arial"/>
                <w:color w:val="auto"/>
                <w:sz w:val="24"/>
                <w:highlight w:val="none"/>
              </w:rPr>
              <w:t>卖方在交货时，须</w:t>
            </w:r>
            <w:r>
              <w:rPr>
                <w:rFonts w:hint="eastAsia" w:ascii="宋体" w:hAnsi="Arial"/>
                <w:color w:val="auto"/>
                <w:sz w:val="24"/>
                <w:highlight w:val="none"/>
              </w:rPr>
              <w:t>提供合同货物安装及日常运行维护所需的全部技术文件，</w:t>
            </w:r>
            <w:r>
              <w:rPr>
                <w:rFonts w:hint="eastAsia" w:ascii="Arial" w:hAnsi="Arial"/>
                <w:color w:val="auto"/>
                <w:sz w:val="24"/>
                <w:highlight w:val="none"/>
              </w:rPr>
              <w:t>应包括但不限于以下内容：</w:t>
            </w:r>
            <w:r>
              <w:rPr>
                <w:rFonts w:ascii="宋体" w:hAnsi="宋体"/>
                <w:color w:val="auto"/>
                <w:sz w:val="24"/>
                <w:highlight w:val="none"/>
              </w:rPr>
              <w:t xml:space="preserve"> </w:t>
            </w:r>
          </w:p>
          <w:p w14:paraId="4636ADE4">
            <w:pPr>
              <w:numPr>
                <w:ilvl w:val="0"/>
                <w:numId w:val="5"/>
              </w:numPr>
              <w:ind w:firstLine="32"/>
              <w:rPr>
                <w:rFonts w:ascii="宋体" w:hAnsi="Arial"/>
                <w:color w:val="auto"/>
                <w:sz w:val="24"/>
                <w:highlight w:val="none"/>
              </w:rPr>
            </w:pPr>
            <w:r>
              <w:rPr>
                <w:rFonts w:hint="eastAsia" w:ascii="Arial" w:hAnsi="Arial"/>
                <w:color w:val="auto"/>
                <w:sz w:val="24"/>
                <w:highlight w:val="none"/>
              </w:rPr>
              <w:t>货物</w:t>
            </w:r>
            <w:r>
              <w:rPr>
                <w:rFonts w:hint="eastAsia" w:ascii="宋体" w:hAnsi="Arial"/>
                <w:color w:val="auto"/>
                <w:sz w:val="24"/>
                <w:highlight w:val="none"/>
              </w:rPr>
              <w:t>机械</w:t>
            </w:r>
            <w:r>
              <w:rPr>
                <w:rFonts w:hint="eastAsia" w:ascii="Arial" w:hAnsi="Arial"/>
                <w:color w:val="auto"/>
                <w:sz w:val="24"/>
                <w:highlight w:val="none"/>
              </w:rPr>
              <w:t>总图、基础图、操作使用说明书，液压系统图、电路图，控制系统原理图，维修保养图册，零部件、辅机、选配件及外购件图册，备品备件及专用工具、易损件清单；</w:t>
            </w:r>
            <w:r>
              <w:rPr>
                <w:rFonts w:hint="eastAsia" w:ascii="宋体" w:hAnsi="Arial"/>
                <w:color w:val="auto"/>
                <w:sz w:val="24"/>
                <w:highlight w:val="none"/>
              </w:rPr>
              <w:t>压缩空气管路布置图；</w:t>
            </w:r>
            <w:r>
              <w:rPr>
                <w:rFonts w:hint="eastAsia" w:ascii="Arial" w:hAnsi="Arial"/>
                <w:color w:val="auto"/>
                <w:sz w:val="24"/>
                <w:highlight w:val="none"/>
              </w:rPr>
              <w:t>装箱单</w:t>
            </w:r>
            <w:r>
              <w:rPr>
                <w:rFonts w:hint="eastAsia" w:ascii="宋体" w:hAnsi="Arial"/>
                <w:color w:val="auto"/>
                <w:sz w:val="24"/>
                <w:highlight w:val="none"/>
              </w:rPr>
              <w:t>。</w:t>
            </w:r>
          </w:p>
          <w:p w14:paraId="3AB9E696">
            <w:pPr>
              <w:numPr>
                <w:ilvl w:val="0"/>
                <w:numId w:val="5"/>
              </w:numPr>
              <w:ind w:firstLine="32"/>
              <w:rPr>
                <w:rFonts w:ascii="Arial" w:hAnsi="Arial"/>
                <w:color w:val="auto"/>
                <w:sz w:val="24"/>
                <w:highlight w:val="none"/>
              </w:rPr>
            </w:pPr>
            <w:r>
              <w:rPr>
                <w:rFonts w:hint="eastAsia" w:ascii="宋体" w:hAnsi="Arial"/>
                <w:color w:val="auto"/>
                <w:sz w:val="24"/>
                <w:highlight w:val="none"/>
              </w:rPr>
              <w:t>货物的原产地证明、质量合格证书、出厂前检测报告等</w:t>
            </w:r>
            <w:r>
              <w:rPr>
                <w:rFonts w:hint="eastAsia" w:ascii="Arial" w:hAnsi="Arial"/>
                <w:color w:val="auto"/>
                <w:sz w:val="24"/>
                <w:highlight w:val="none"/>
              </w:rPr>
              <w:t>资料。</w:t>
            </w:r>
          </w:p>
          <w:p w14:paraId="08CFCB68">
            <w:pPr>
              <w:numPr>
                <w:ilvl w:val="0"/>
                <w:numId w:val="5"/>
              </w:numPr>
              <w:ind w:firstLine="32"/>
              <w:rPr>
                <w:rFonts w:ascii="Arial" w:hAnsi="Arial"/>
                <w:color w:val="auto"/>
                <w:sz w:val="24"/>
                <w:highlight w:val="none"/>
              </w:rPr>
            </w:pPr>
            <w:r>
              <w:rPr>
                <w:rFonts w:hint="eastAsia" w:ascii="Arial" w:hAnsi="Arial"/>
                <w:color w:val="auto"/>
                <w:sz w:val="24"/>
                <w:highlight w:val="none"/>
              </w:rPr>
              <w:t>对买方人员进行操作和维护培训的技术资料。</w:t>
            </w:r>
          </w:p>
          <w:p w14:paraId="26BB1020">
            <w:pPr>
              <w:numPr>
                <w:ilvl w:val="0"/>
                <w:numId w:val="5"/>
              </w:numPr>
              <w:ind w:firstLine="32"/>
              <w:rPr>
                <w:rFonts w:ascii="Arial" w:hAnsi="Arial"/>
                <w:color w:val="auto"/>
                <w:sz w:val="24"/>
                <w:highlight w:val="none"/>
              </w:rPr>
            </w:pPr>
            <w:r>
              <w:rPr>
                <w:rFonts w:hint="eastAsia" w:ascii="Arial" w:hAnsi="Arial"/>
                <w:color w:val="auto"/>
                <w:sz w:val="24"/>
                <w:highlight w:val="none"/>
              </w:rPr>
              <w:t>外购件使用说明书，产品合格书证，产品安全合格证明等。</w:t>
            </w:r>
          </w:p>
          <w:p w14:paraId="71667011">
            <w:pPr>
              <w:numPr>
                <w:ilvl w:val="0"/>
                <w:numId w:val="5"/>
              </w:numPr>
              <w:ind w:firstLine="32"/>
              <w:rPr>
                <w:rFonts w:ascii="Arial" w:hAnsi="Arial"/>
                <w:color w:val="auto"/>
                <w:sz w:val="24"/>
                <w:highlight w:val="none"/>
              </w:rPr>
            </w:pPr>
            <w:r>
              <w:rPr>
                <w:rFonts w:hint="eastAsia" w:ascii="Arial" w:hAnsi="Arial"/>
                <w:color w:val="auto"/>
                <w:sz w:val="24"/>
                <w:highlight w:val="none"/>
              </w:rPr>
              <w:t>货物控制系统的编程方式，正常运行的管理软件、升级软件及专用磁卡等；以及其他技术文件及电子文档。</w:t>
            </w:r>
          </w:p>
          <w:p w14:paraId="01E63138">
            <w:pPr>
              <w:ind w:firstLine="477" w:firstLineChars="199"/>
              <w:rPr>
                <w:rFonts w:ascii="Arial" w:hAnsi="Arial"/>
                <w:color w:val="auto"/>
                <w:sz w:val="24"/>
                <w:highlight w:val="none"/>
              </w:rPr>
            </w:pPr>
            <w:r>
              <w:rPr>
                <w:rFonts w:hint="eastAsia" w:ascii="Arial" w:hAnsi="Arial"/>
                <w:color w:val="auto"/>
                <w:sz w:val="24"/>
                <w:highlight w:val="none"/>
              </w:rPr>
              <w:t>以上技术资料要求中英文对照，一式四份。</w:t>
            </w:r>
          </w:p>
          <w:p w14:paraId="76FADA54">
            <w:pPr>
              <w:numPr>
                <w:ilvl w:val="0"/>
                <w:numId w:val="4"/>
              </w:numPr>
              <w:rPr>
                <w:rFonts w:ascii="Arial" w:hAnsi="Arial"/>
                <w:color w:val="auto"/>
                <w:sz w:val="24"/>
                <w:highlight w:val="none"/>
              </w:rPr>
            </w:pPr>
            <w:r>
              <w:rPr>
                <w:rFonts w:hint="eastAsia" w:ascii="宋体" w:hAnsi="Arial"/>
                <w:color w:val="auto"/>
                <w:sz w:val="24"/>
                <w:highlight w:val="none"/>
              </w:rPr>
              <w:t>负责安装（包括货物就位、现场组装等）；</w:t>
            </w:r>
          </w:p>
          <w:p w14:paraId="1096B012">
            <w:pPr>
              <w:numPr>
                <w:ilvl w:val="0"/>
                <w:numId w:val="4"/>
              </w:numPr>
              <w:rPr>
                <w:rFonts w:ascii="Arial" w:hAnsi="Arial"/>
                <w:color w:val="auto"/>
                <w:sz w:val="24"/>
                <w:highlight w:val="none"/>
              </w:rPr>
            </w:pPr>
            <w:r>
              <w:rPr>
                <w:rFonts w:hint="eastAsia" w:ascii="宋体" w:hAnsi="Arial"/>
                <w:color w:val="auto"/>
                <w:sz w:val="24"/>
                <w:highlight w:val="none"/>
              </w:rPr>
              <w:t>负责调试，直至通过买方及有关部门验收交付使用；</w:t>
            </w:r>
          </w:p>
          <w:p w14:paraId="7FED6E23">
            <w:pPr>
              <w:numPr>
                <w:ilvl w:val="0"/>
                <w:numId w:val="4"/>
              </w:numPr>
              <w:rPr>
                <w:rFonts w:ascii="Arial" w:hAnsi="Arial"/>
                <w:color w:val="auto"/>
                <w:sz w:val="24"/>
                <w:highlight w:val="none"/>
              </w:rPr>
            </w:pPr>
            <w:r>
              <w:rPr>
                <w:rFonts w:hint="eastAsia" w:ascii="Arial" w:hAnsi="Arial"/>
                <w:color w:val="auto"/>
                <w:sz w:val="24"/>
                <w:highlight w:val="none"/>
              </w:rPr>
              <w:t>负责提供培训，达到能熟练操作并能排除常见故障的标准；</w:t>
            </w:r>
          </w:p>
          <w:p w14:paraId="52A73F7B">
            <w:pPr>
              <w:numPr>
                <w:ilvl w:val="0"/>
                <w:numId w:val="4"/>
              </w:numPr>
              <w:rPr>
                <w:rFonts w:ascii="Arial" w:hAnsi="Arial"/>
                <w:color w:val="auto"/>
                <w:sz w:val="24"/>
                <w:highlight w:val="none"/>
              </w:rPr>
            </w:pPr>
            <w:r>
              <w:rPr>
                <w:rFonts w:hint="eastAsia" w:ascii="Arial" w:hAnsi="Arial"/>
                <w:color w:val="auto"/>
                <w:sz w:val="24"/>
                <w:highlight w:val="none"/>
              </w:rPr>
              <w:t>提供优质的“三包”售后服务和终身维保服务。</w:t>
            </w:r>
            <w:r>
              <w:rPr>
                <w:rFonts w:hint="eastAsia"/>
                <w:color w:val="auto"/>
                <w:sz w:val="24"/>
                <w:highlight w:val="none"/>
              </w:rPr>
              <w:t>制造商在中国境内应设有办事处并有精通加工中心设备维修的专职服务工程师。需提供售后服务机构名称和工程师名单。</w:t>
            </w:r>
          </w:p>
          <w:p w14:paraId="753B3ACE">
            <w:pPr>
              <w:numPr>
                <w:ilvl w:val="0"/>
                <w:numId w:val="4"/>
              </w:numPr>
              <w:rPr>
                <w:rFonts w:ascii="Arial" w:hAnsi="Arial"/>
                <w:color w:val="auto"/>
                <w:sz w:val="24"/>
                <w:highlight w:val="none"/>
              </w:rPr>
            </w:pPr>
            <w:r>
              <w:rPr>
                <w:rFonts w:hint="eastAsia" w:ascii="Arial" w:hAnsi="Arial"/>
                <w:color w:val="auto"/>
                <w:sz w:val="24"/>
                <w:highlight w:val="none"/>
              </w:rPr>
              <w:t>质保期服务详见第八章技术规格。</w:t>
            </w:r>
          </w:p>
          <w:p w14:paraId="7C4BEAF7">
            <w:pPr>
              <w:numPr>
                <w:ilvl w:val="0"/>
                <w:numId w:val="4"/>
              </w:numPr>
              <w:rPr>
                <w:color w:val="auto"/>
                <w:sz w:val="24"/>
                <w:highlight w:val="none"/>
              </w:rPr>
            </w:pPr>
            <w:r>
              <w:rPr>
                <w:rFonts w:hint="eastAsia" w:ascii="Arial" w:hAnsi="Arial"/>
                <w:color w:val="auto"/>
                <w:sz w:val="24"/>
                <w:highlight w:val="none"/>
              </w:rPr>
              <w:t>提供合同货物使用和维护方面的最新技术信息和资料。</w:t>
            </w:r>
          </w:p>
          <w:p w14:paraId="078208EF">
            <w:pPr>
              <w:rPr>
                <w:color w:val="auto"/>
                <w:sz w:val="24"/>
                <w:highlight w:val="none"/>
              </w:rPr>
            </w:pPr>
            <w:r>
              <w:rPr>
                <w:rFonts w:hint="eastAsia" w:ascii="Arial" w:hAnsi="Arial"/>
                <w:color w:val="auto"/>
                <w:sz w:val="24"/>
                <w:highlight w:val="none"/>
              </w:rPr>
              <w:t>具体要求详见第八章技术规格。</w:t>
            </w:r>
          </w:p>
        </w:tc>
      </w:tr>
      <w:tr w14:paraId="5B244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0CA11407">
            <w:pPr>
              <w:jc w:val="center"/>
              <w:rPr>
                <w:color w:val="auto"/>
                <w:sz w:val="24"/>
                <w:highlight w:val="none"/>
              </w:rPr>
            </w:pPr>
            <w:r>
              <w:rPr>
                <w:color w:val="auto"/>
                <w:sz w:val="24"/>
                <w:highlight w:val="none"/>
              </w:rPr>
              <w:t>17.2</w:t>
            </w:r>
          </w:p>
        </w:tc>
        <w:tc>
          <w:tcPr>
            <w:tcW w:w="7515" w:type="dxa"/>
            <w:vAlign w:val="center"/>
          </w:tcPr>
          <w:p w14:paraId="1A8A0346">
            <w:pPr>
              <w:jc w:val="left"/>
              <w:rPr>
                <w:bCs/>
                <w:color w:val="auto"/>
                <w:sz w:val="24"/>
                <w:highlight w:val="none"/>
              </w:rPr>
            </w:pPr>
            <w:r>
              <w:rPr>
                <w:rFonts w:hint="eastAsia"/>
                <w:bCs/>
                <w:color w:val="auto"/>
                <w:sz w:val="24"/>
                <w:highlight w:val="none"/>
              </w:rPr>
              <w:t>备件要求：</w:t>
            </w:r>
          </w:p>
          <w:p w14:paraId="3BAC46C8">
            <w:pPr>
              <w:jc w:val="left"/>
              <w:rPr>
                <w:bCs/>
                <w:color w:val="auto"/>
                <w:sz w:val="24"/>
                <w:highlight w:val="none"/>
              </w:rPr>
            </w:pPr>
            <w:r>
              <w:rPr>
                <w:rFonts w:hint="eastAsia"/>
                <w:bCs/>
                <w:color w:val="auto"/>
                <w:sz w:val="24"/>
                <w:highlight w:val="none"/>
              </w:rPr>
              <w:t>同《投标资料表》</w:t>
            </w:r>
            <w:r>
              <w:rPr>
                <w:bCs/>
                <w:color w:val="auto"/>
                <w:sz w:val="24"/>
                <w:highlight w:val="none"/>
              </w:rPr>
              <w:t>14.</w:t>
            </w:r>
            <w:r>
              <w:rPr>
                <w:rFonts w:ascii="宋体"/>
                <w:color w:val="auto"/>
                <w:sz w:val="24"/>
                <w:highlight w:val="none"/>
              </w:rPr>
              <w:t>3</w:t>
            </w:r>
            <w:r>
              <w:rPr>
                <w:rFonts w:hint="eastAsia" w:ascii="宋体"/>
                <w:color w:val="auto"/>
                <w:sz w:val="24"/>
                <w:highlight w:val="none"/>
              </w:rPr>
              <w:t>（2）条。在一年（12个月）内，非人为原因损坏的情况下，买方实际所需备件超出该清单范围的部分，由卖方无偿提供。</w:t>
            </w:r>
          </w:p>
        </w:tc>
      </w:tr>
      <w:tr w14:paraId="767CBC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192715AC">
            <w:pPr>
              <w:jc w:val="center"/>
              <w:rPr>
                <w:color w:val="auto"/>
                <w:sz w:val="24"/>
                <w:highlight w:val="none"/>
              </w:rPr>
            </w:pPr>
            <w:r>
              <w:rPr>
                <w:color w:val="auto"/>
                <w:sz w:val="24"/>
                <w:highlight w:val="none"/>
              </w:rPr>
              <w:t>18.2</w:t>
            </w:r>
          </w:p>
        </w:tc>
        <w:tc>
          <w:tcPr>
            <w:tcW w:w="7515" w:type="dxa"/>
            <w:vAlign w:val="center"/>
          </w:tcPr>
          <w:p w14:paraId="0B773018">
            <w:pPr>
              <w:jc w:val="left"/>
              <w:rPr>
                <w:color w:val="auto"/>
                <w:sz w:val="24"/>
                <w:highlight w:val="none"/>
              </w:rPr>
            </w:pPr>
            <w:r>
              <w:rPr>
                <w:rFonts w:hint="eastAsia"/>
                <w:color w:val="auto"/>
                <w:sz w:val="24"/>
                <w:highlight w:val="none"/>
              </w:rPr>
              <w:t>货物的质量保证期：终验收合格起</w:t>
            </w:r>
            <w:r>
              <w:rPr>
                <w:color w:val="auto"/>
                <w:sz w:val="24"/>
                <w:highlight w:val="none"/>
              </w:rPr>
              <w:t>1</w:t>
            </w:r>
            <w:r>
              <w:rPr>
                <w:rFonts w:hint="eastAsia"/>
                <w:color w:val="auto"/>
                <w:sz w:val="24"/>
                <w:highlight w:val="none"/>
              </w:rPr>
              <w:t>年。</w:t>
            </w:r>
          </w:p>
        </w:tc>
      </w:tr>
      <w:tr w14:paraId="1F5A6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2A5AFB31">
            <w:pPr>
              <w:jc w:val="center"/>
              <w:rPr>
                <w:color w:val="auto"/>
                <w:sz w:val="24"/>
                <w:highlight w:val="none"/>
              </w:rPr>
            </w:pPr>
            <w:r>
              <w:rPr>
                <w:color w:val="auto"/>
                <w:sz w:val="24"/>
                <w:highlight w:val="none"/>
              </w:rPr>
              <w:t>18.4</w:t>
            </w:r>
          </w:p>
        </w:tc>
        <w:tc>
          <w:tcPr>
            <w:tcW w:w="7515" w:type="dxa"/>
            <w:vAlign w:val="center"/>
          </w:tcPr>
          <w:p w14:paraId="7F634BA8">
            <w:pPr>
              <w:ind w:firstLine="2"/>
              <w:jc w:val="left"/>
              <w:rPr>
                <w:color w:val="auto"/>
                <w:sz w:val="24"/>
                <w:highlight w:val="none"/>
              </w:rPr>
            </w:pPr>
            <w:r>
              <w:rPr>
                <w:rFonts w:hint="eastAsia" w:ascii="宋体"/>
                <w:color w:val="auto"/>
                <w:sz w:val="24"/>
                <w:highlight w:val="none"/>
              </w:rPr>
              <w:t>免费维修或更换有缺陷的货物或部件的响应时间：详见第八章技术规格。</w:t>
            </w:r>
          </w:p>
        </w:tc>
      </w:tr>
      <w:tr w14:paraId="718C4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6A8CB067">
            <w:pPr>
              <w:jc w:val="center"/>
              <w:rPr>
                <w:color w:val="auto"/>
                <w:sz w:val="24"/>
                <w:highlight w:val="none"/>
              </w:rPr>
            </w:pPr>
            <w:r>
              <w:rPr>
                <w:color w:val="auto"/>
                <w:sz w:val="24"/>
                <w:highlight w:val="none"/>
              </w:rPr>
              <w:t>20.1</w:t>
            </w:r>
          </w:p>
        </w:tc>
        <w:tc>
          <w:tcPr>
            <w:tcW w:w="7515" w:type="dxa"/>
            <w:vAlign w:val="center"/>
          </w:tcPr>
          <w:p w14:paraId="325845C5">
            <w:pPr>
              <w:rPr>
                <w:rFonts w:ascii="Arial" w:hAnsi="Arial"/>
                <w:color w:val="auto"/>
                <w:sz w:val="24"/>
                <w:highlight w:val="none"/>
              </w:rPr>
            </w:pPr>
            <w:r>
              <w:rPr>
                <w:rFonts w:hint="eastAsia"/>
                <w:color w:val="auto"/>
                <w:sz w:val="24"/>
                <w:highlight w:val="none"/>
              </w:rPr>
              <w:t>付款方法和条件：</w:t>
            </w:r>
          </w:p>
          <w:p w14:paraId="7F79750C">
            <w:pPr>
              <w:jc w:val="left"/>
              <w:rPr>
                <w:color w:val="auto"/>
                <w:sz w:val="24"/>
                <w:highlight w:val="none"/>
                <w:u w:val="single"/>
              </w:rPr>
            </w:pPr>
            <w:r>
              <w:rPr>
                <w:rFonts w:hint="eastAsia" w:ascii="Arial" w:hAnsi="Arial"/>
                <w:color w:val="auto"/>
                <w:sz w:val="24"/>
                <w:highlight w:val="none"/>
              </w:rPr>
              <w:t>合同签订生效后凭预付款保函和发票支付合同总价的30%；买方出具以卖方为受益人的合同总价70%的不可撤销信用证（其中合同总价的60%凭装运及相关单据议付，其余合同总价10%凭合同要求支付）。</w:t>
            </w:r>
          </w:p>
        </w:tc>
      </w:tr>
      <w:tr w14:paraId="7F930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2ED03BC1">
            <w:pPr>
              <w:jc w:val="center"/>
              <w:rPr>
                <w:color w:val="auto"/>
                <w:sz w:val="24"/>
                <w:highlight w:val="none"/>
              </w:rPr>
            </w:pPr>
            <w:r>
              <w:rPr>
                <w:color w:val="auto"/>
                <w:sz w:val="24"/>
                <w:highlight w:val="none"/>
              </w:rPr>
              <w:t>21</w:t>
            </w:r>
          </w:p>
        </w:tc>
        <w:tc>
          <w:tcPr>
            <w:tcW w:w="7515" w:type="dxa"/>
            <w:vAlign w:val="center"/>
          </w:tcPr>
          <w:p w14:paraId="05911A48">
            <w:pPr>
              <w:rPr>
                <w:color w:val="auto"/>
                <w:sz w:val="24"/>
                <w:highlight w:val="none"/>
              </w:rPr>
            </w:pPr>
            <w:r>
              <w:rPr>
                <w:rFonts w:hint="eastAsia"/>
                <w:color w:val="auto"/>
                <w:sz w:val="24"/>
                <w:highlight w:val="none"/>
              </w:rPr>
              <w:t>价格：须写明合同总价和分项价格。</w:t>
            </w:r>
          </w:p>
          <w:p w14:paraId="2AA9F45B">
            <w:pPr>
              <w:ind w:left="125" w:hanging="20"/>
              <w:rPr>
                <w:rFonts w:ascii="Arial" w:hAnsi="Arial"/>
                <w:color w:val="auto"/>
                <w:sz w:val="24"/>
                <w:highlight w:val="none"/>
              </w:rPr>
            </w:pPr>
            <w:r>
              <w:rPr>
                <w:rFonts w:ascii="Arial" w:hAnsi="Arial"/>
                <w:color w:val="auto"/>
                <w:sz w:val="24"/>
                <w:highlight w:val="none"/>
              </w:rPr>
              <w:t>1</w:t>
            </w:r>
            <w:r>
              <w:rPr>
                <w:rFonts w:hint="eastAsia" w:ascii="Arial" w:hAnsi="Arial"/>
                <w:color w:val="auto"/>
                <w:sz w:val="24"/>
                <w:highlight w:val="none"/>
              </w:rPr>
              <w:t>）</w:t>
            </w:r>
            <w:r>
              <w:rPr>
                <w:rFonts w:hint="eastAsia" w:ascii="宋体" w:hAnsi="Arial"/>
                <w:color w:val="auto"/>
                <w:sz w:val="24"/>
                <w:highlight w:val="none"/>
              </w:rPr>
              <w:t>按照买方要求的“货物需求一览表”、“技术规格”及供货范围报价。</w:t>
            </w:r>
          </w:p>
          <w:p w14:paraId="55100360">
            <w:pPr>
              <w:ind w:left="125" w:hanging="20"/>
              <w:rPr>
                <w:rFonts w:ascii="Arial" w:hAnsi="Arial"/>
                <w:color w:val="auto"/>
                <w:sz w:val="24"/>
                <w:highlight w:val="none"/>
              </w:rPr>
            </w:pPr>
            <w:r>
              <w:rPr>
                <w:rFonts w:hint="eastAsia" w:ascii="Arial" w:hAnsi="Arial"/>
                <w:color w:val="auto"/>
                <w:sz w:val="24"/>
                <w:highlight w:val="none"/>
              </w:rPr>
              <w:t>2）</w:t>
            </w:r>
            <w:r>
              <w:rPr>
                <w:rFonts w:hint="eastAsia" w:ascii="宋体" w:hAnsi="Arial"/>
                <w:color w:val="auto"/>
                <w:sz w:val="24"/>
                <w:highlight w:val="none"/>
              </w:rPr>
              <w:t>投标人应列出设备本体、</w:t>
            </w:r>
            <w:r>
              <w:rPr>
                <w:rFonts w:hint="eastAsia" w:ascii="Arial" w:hAnsi="Arial"/>
                <w:color w:val="auto"/>
                <w:sz w:val="24"/>
                <w:highlight w:val="none"/>
              </w:rPr>
              <w:t>辅机、</w:t>
            </w:r>
            <w:r>
              <w:rPr>
                <w:rFonts w:hint="eastAsia" w:ascii="宋体" w:hAnsi="Arial"/>
                <w:color w:val="auto"/>
                <w:sz w:val="24"/>
                <w:highlight w:val="none"/>
              </w:rPr>
              <w:t>备品备件及专用工具、技术文件</w:t>
            </w:r>
            <w:r>
              <w:rPr>
                <w:rFonts w:hint="eastAsia" w:ascii="Arial" w:hAnsi="Arial"/>
                <w:color w:val="auto"/>
                <w:sz w:val="24"/>
                <w:highlight w:val="none"/>
              </w:rPr>
              <w:t>分项价格</w:t>
            </w:r>
            <w:r>
              <w:rPr>
                <w:rFonts w:hint="eastAsia" w:ascii="宋体" w:hAnsi="Arial"/>
                <w:color w:val="auto"/>
                <w:sz w:val="24"/>
                <w:highlight w:val="none"/>
              </w:rPr>
              <w:t>。</w:t>
            </w:r>
          </w:p>
          <w:p w14:paraId="625E5C2E">
            <w:pPr>
              <w:ind w:left="125" w:hanging="20"/>
              <w:rPr>
                <w:rFonts w:ascii="宋体" w:hAnsi="Arial"/>
                <w:color w:val="auto"/>
                <w:sz w:val="24"/>
                <w:highlight w:val="none"/>
              </w:rPr>
            </w:pPr>
            <w:r>
              <w:rPr>
                <w:rFonts w:hint="eastAsia" w:ascii="Arial" w:hAnsi="Arial"/>
                <w:color w:val="auto"/>
                <w:sz w:val="24"/>
                <w:highlight w:val="none"/>
              </w:rPr>
              <w:t>3）专用磁卡、软件费用，如有偿提供，请将价格</w:t>
            </w:r>
            <w:r>
              <w:rPr>
                <w:rFonts w:hint="eastAsia" w:ascii="宋体" w:hAnsi="Arial"/>
                <w:color w:val="auto"/>
                <w:sz w:val="24"/>
                <w:highlight w:val="none"/>
              </w:rPr>
              <w:t>详细列出，并</w:t>
            </w:r>
            <w:r>
              <w:rPr>
                <w:rFonts w:hint="eastAsia" w:ascii="Arial" w:hAnsi="Arial"/>
                <w:color w:val="auto"/>
                <w:sz w:val="24"/>
                <w:highlight w:val="none"/>
              </w:rPr>
              <w:t>计入投标报价中。</w:t>
            </w:r>
          </w:p>
          <w:p w14:paraId="5903368A">
            <w:pPr>
              <w:ind w:left="125" w:hanging="20"/>
              <w:rPr>
                <w:rFonts w:ascii="宋体" w:hAnsi="Arial"/>
                <w:color w:val="auto"/>
                <w:sz w:val="24"/>
                <w:highlight w:val="none"/>
              </w:rPr>
            </w:pPr>
            <w:r>
              <w:rPr>
                <w:rFonts w:hint="eastAsia" w:ascii="Arial" w:hAnsi="Arial"/>
                <w:color w:val="auto"/>
                <w:sz w:val="24"/>
                <w:highlight w:val="none"/>
              </w:rPr>
              <w:t>4）随货物提供的备品备件及专用工具、易损件，请将名称、型号规格、功能、数量、单价详细列出，</w:t>
            </w:r>
            <w:r>
              <w:rPr>
                <w:rFonts w:hint="eastAsia" w:ascii="宋体" w:hAnsi="Arial"/>
                <w:color w:val="auto"/>
                <w:sz w:val="24"/>
                <w:highlight w:val="none"/>
              </w:rPr>
              <w:t>并</w:t>
            </w:r>
            <w:r>
              <w:rPr>
                <w:rFonts w:hint="eastAsia" w:ascii="Arial" w:hAnsi="Arial"/>
                <w:color w:val="auto"/>
                <w:sz w:val="24"/>
                <w:highlight w:val="none"/>
              </w:rPr>
              <w:t>计入投标报价中。</w:t>
            </w:r>
          </w:p>
          <w:p w14:paraId="6B502033">
            <w:pPr>
              <w:ind w:left="125" w:hanging="20"/>
              <w:rPr>
                <w:rFonts w:ascii="Arial" w:hAnsi="Arial"/>
                <w:color w:val="auto"/>
                <w:sz w:val="24"/>
                <w:highlight w:val="none"/>
              </w:rPr>
            </w:pPr>
            <w:r>
              <w:rPr>
                <w:rFonts w:hint="eastAsia" w:ascii="Arial" w:hAnsi="Arial"/>
                <w:color w:val="auto"/>
                <w:sz w:val="24"/>
                <w:highlight w:val="none"/>
              </w:rPr>
              <w:t>5）所供货物的各项伴随服务，如为有偿提供，则请将价格详细列出，计入投标报价中；如某项服务为免费，也请在投标报价中注明。否则评标时按漏项处理。</w:t>
            </w:r>
          </w:p>
          <w:p w14:paraId="7BF03D15">
            <w:pPr>
              <w:ind w:left="125" w:hanging="20"/>
              <w:rPr>
                <w:rFonts w:ascii="Arial" w:hAnsi="Arial"/>
                <w:color w:val="auto"/>
                <w:sz w:val="24"/>
                <w:highlight w:val="none"/>
              </w:rPr>
            </w:pPr>
            <w:r>
              <w:rPr>
                <w:rFonts w:hint="eastAsia" w:ascii="Arial" w:hAnsi="Arial"/>
                <w:color w:val="auto"/>
                <w:sz w:val="24"/>
                <w:highlight w:val="none"/>
              </w:rPr>
              <w:t>6）包装费、产地的运杂费及保险均包含在货物的总报价之中，由卖方承担。</w:t>
            </w:r>
          </w:p>
          <w:p w14:paraId="4A6458DF">
            <w:pPr>
              <w:ind w:left="125" w:hanging="20"/>
              <w:rPr>
                <w:rFonts w:ascii="Arial" w:hAnsi="Arial"/>
                <w:color w:val="auto"/>
                <w:sz w:val="24"/>
                <w:highlight w:val="none"/>
              </w:rPr>
            </w:pPr>
            <w:r>
              <w:rPr>
                <w:rFonts w:hint="eastAsia" w:ascii="Arial" w:hAnsi="Arial"/>
                <w:color w:val="auto"/>
                <w:sz w:val="24"/>
                <w:highlight w:val="none"/>
              </w:rPr>
              <w:t>7）</w:t>
            </w:r>
            <w:r>
              <w:rPr>
                <w:rFonts w:hint="eastAsia" w:ascii="宋体" w:hAnsi="Arial"/>
                <w:color w:val="auto"/>
                <w:sz w:val="24"/>
                <w:highlight w:val="none"/>
              </w:rPr>
              <w:t>若投标人能提供可增加货物功能的选配件,请将名称、型号规格、功能、数量、单价、制造商详细列出，不</w:t>
            </w:r>
            <w:r>
              <w:rPr>
                <w:rFonts w:hint="eastAsia" w:ascii="Arial" w:hAnsi="Arial"/>
                <w:color w:val="auto"/>
                <w:sz w:val="24"/>
                <w:highlight w:val="none"/>
              </w:rPr>
              <w:t>计入投标报价中，供买方参考。</w:t>
            </w:r>
          </w:p>
          <w:p w14:paraId="06B241CD">
            <w:pPr>
              <w:ind w:left="120" w:leftChars="57"/>
              <w:rPr>
                <w:color w:val="auto"/>
                <w:sz w:val="24"/>
                <w:highlight w:val="none"/>
              </w:rPr>
            </w:pPr>
            <w:r>
              <w:rPr>
                <w:rFonts w:hint="eastAsia" w:ascii="Arial" w:hAnsi="Arial"/>
                <w:color w:val="auto"/>
                <w:sz w:val="24"/>
                <w:highlight w:val="none"/>
              </w:rPr>
              <w:t>8）如果维保服务卖方为有偿提供，则请在投标文件中分别报出每年的详细的维保服务内容和费用。</w:t>
            </w:r>
          </w:p>
        </w:tc>
      </w:tr>
      <w:tr w14:paraId="43DE0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458092D2">
            <w:pPr>
              <w:jc w:val="center"/>
              <w:rPr>
                <w:color w:val="auto"/>
                <w:sz w:val="24"/>
                <w:highlight w:val="none"/>
              </w:rPr>
            </w:pPr>
            <w:r>
              <w:rPr>
                <w:rFonts w:hint="eastAsia"/>
                <w:color w:val="auto"/>
                <w:sz w:val="24"/>
                <w:highlight w:val="none"/>
              </w:rPr>
              <w:t>★32.2</w:t>
            </w:r>
          </w:p>
        </w:tc>
        <w:tc>
          <w:tcPr>
            <w:tcW w:w="7515" w:type="dxa"/>
          </w:tcPr>
          <w:p w14:paraId="708D6950">
            <w:pPr>
              <w:rPr>
                <w:color w:val="auto"/>
                <w:sz w:val="24"/>
                <w:highlight w:val="none"/>
              </w:rPr>
            </w:pPr>
            <w:r>
              <w:rPr>
                <w:rFonts w:hint="eastAsia"/>
                <w:color w:val="auto"/>
                <w:sz w:val="24"/>
                <w:highlight w:val="none"/>
              </w:rPr>
              <w:t>争端的解决：</w:t>
            </w:r>
          </w:p>
          <w:p w14:paraId="7C0E18E5">
            <w:pPr>
              <w:rPr>
                <w:color w:val="auto"/>
                <w:sz w:val="24"/>
                <w:highlight w:val="none"/>
              </w:rPr>
            </w:pPr>
            <w:r>
              <w:rPr>
                <w:rFonts w:hint="eastAsia"/>
                <w:color w:val="auto"/>
                <w:sz w:val="24"/>
                <w:highlight w:val="none"/>
              </w:rPr>
              <w:t>中国国际经济贸易仲裁委员会（CIETAC）。仲裁地：上海</w:t>
            </w:r>
          </w:p>
        </w:tc>
      </w:tr>
      <w:tr w14:paraId="1A7D85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899B3C0">
            <w:pPr>
              <w:jc w:val="center"/>
              <w:rPr>
                <w:color w:val="auto"/>
                <w:sz w:val="24"/>
                <w:highlight w:val="none"/>
              </w:rPr>
            </w:pPr>
            <w:r>
              <w:rPr>
                <w:rFonts w:hint="eastAsia"/>
                <w:color w:val="auto"/>
                <w:sz w:val="24"/>
                <w:highlight w:val="none"/>
              </w:rPr>
              <w:t>★34</w:t>
            </w:r>
          </w:p>
        </w:tc>
        <w:tc>
          <w:tcPr>
            <w:tcW w:w="7515" w:type="dxa"/>
            <w:vAlign w:val="center"/>
          </w:tcPr>
          <w:p w14:paraId="7B91913B">
            <w:pPr>
              <w:jc w:val="left"/>
              <w:rPr>
                <w:color w:val="auto"/>
                <w:sz w:val="24"/>
                <w:highlight w:val="none"/>
              </w:rPr>
            </w:pPr>
            <w:r>
              <w:rPr>
                <w:rFonts w:hint="eastAsia"/>
                <w:color w:val="auto"/>
                <w:sz w:val="24"/>
                <w:highlight w:val="none"/>
              </w:rPr>
              <w:t>适用法律：中华人民共和国的法律</w:t>
            </w:r>
          </w:p>
        </w:tc>
      </w:tr>
      <w:tr w14:paraId="6FDAB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5C72F1AB">
            <w:pPr>
              <w:jc w:val="center"/>
              <w:rPr>
                <w:color w:val="auto"/>
                <w:sz w:val="24"/>
                <w:highlight w:val="none"/>
              </w:rPr>
            </w:pPr>
            <w:r>
              <w:rPr>
                <w:color w:val="auto"/>
                <w:sz w:val="24"/>
                <w:highlight w:val="none"/>
              </w:rPr>
              <w:t>35.1</w:t>
            </w:r>
          </w:p>
        </w:tc>
        <w:tc>
          <w:tcPr>
            <w:tcW w:w="7515" w:type="dxa"/>
            <w:vAlign w:val="center"/>
          </w:tcPr>
          <w:p w14:paraId="40AE0AA2">
            <w:pPr>
              <w:jc w:val="left"/>
              <w:rPr>
                <w:color w:val="auto"/>
                <w:sz w:val="24"/>
                <w:highlight w:val="none"/>
                <w:u w:val="single"/>
              </w:rPr>
            </w:pPr>
            <w:r>
              <w:rPr>
                <w:rFonts w:hint="eastAsia"/>
                <w:color w:val="auto"/>
                <w:sz w:val="24"/>
                <w:highlight w:val="none"/>
              </w:rPr>
              <w:t>卖方通知送达地址：待定</w:t>
            </w:r>
          </w:p>
        </w:tc>
      </w:tr>
      <w:tr w14:paraId="21C3F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648" w:type="dxa"/>
            <w:vAlign w:val="center"/>
          </w:tcPr>
          <w:p w14:paraId="349FE6AA">
            <w:pPr>
              <w:jc w:val="center"/>
              <w:rPr>
                <w:color w:val="auto"/>
                <w:sz w:val="24"/>
                <w:highlight w:val="none"/>
              </w:rPr>
            </w:pPr>
            <w:r>
              <w:rPr>
                <w:rFonts w:hint="eastAsia"/>
                <w:color w:val="auto"/>
                <w:sz w:val="24"/>
                <w:highlight w:val="none"/>
              </w:rPr>
              <w:t>★36</w:t>
            </w:r>
          </w:p>
        </w:tc>
        <w:tc>
          <w:tcPr>
            <w:tcW w:w="7515" w:type="dxa"/>
            <w:vAlign w:val="center"/>
          </w:tcPr>
          <w:p w14:paraId="7560E87D">
            <w:pPr>
              <w:jc w:val="left"/>
              <w:rPr>
                <w:color w:val="auto"/>
                <w:sz w:val="24"/>
                <w:highlight w:val="none"/>
                <w:u w:val="single"/>
              </w:rPr>
            </w:pPr>
            <w:r>
              <w:rPr>
                <w:rFonts w:hint="eastAsia"/>
                <w:color w:val="auto"/>
                <w:sz w:val="24"/>
                <w:highlight w:val="none"/>
              </w:rPr>
              <w:t>互惠协议的标题是：“中华人民共和国政府和</w:t>
            </w:r>
            <w:r>
              <w:rPr>
                <w:color w:val="auto"/>
                <w:sz w:val="24"/>
                <w:highlight w:val="none"/>
                <w:u w:val="single"/>
              </w:rPr>
              <w:t xml:space="preserve">             </w:t>
            </w:r>
            <w:r>
              <w:rPr>
                <w:rFonts w:hint="eastAsia"/>
                <w:color w:val="auto"/>
                <w:sz w:val="24"/>
                <w:highlight w:val="none"/>
              </w:rPr>
              <w:t>政府关于所得税和财产税避免双重征税和防止偷漏税的协定”</w:t>
            </w:r>
          </w:p>
        </w:tc>
      </w:tr>
      <w:tr w14:paraId="1DDEBD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11" w:hRule="atLeast"/>
          <w:jc w:val="center"/>
        </w:trPr>
        <w:tc>
          <w:tcPr>
            <w:tcW w:w="9163" w:type="dxa"/>
            <w:gridSpan w:val="2"/>
            <w:tcBorders>
              <w:top w:val="single" w:color="auto" w:sz="12" w:space="0"/>
              <w:left w:val="single" w:color="auto" w:sz="12" w:space="0"/>
              <w:bottom w:val="single" w:color="auto" w:sz="12" w:space="0"/>
              <w:right w:val="single" w:color="auto" w:sz="12" w:space="0"/>
            </w:tcBorders>
            <w:vAlign w:val="center"/>
          </w:tcPr>
          <w:p w14:paraId="74E8B117">
            <w:pPr>
              <w:jc w:val="left"/>
              <w:rPr>
                <w:rFonts w:ascii="宋体"/>
                <w:b/>
                <w:color w:val="auto"/>
                <w:sz w:val="24"/>
                <w:highlight w:val="none"/>
              </w:rPr>
            </w:pPr>
            <w:r>
              <w:rPr>
                <w:rFonts w:hint="eastAsia" w:ascii="宋体"/>
                <w:b/>
                <w:color w:val="auto"/>
                <w:sz w:val="24"/>
                <w:highlight w:val="none"/>
              </w:rPr>
              <w:t>特别说明：对32、34、36条款的任何偏离都将视为非实质性响应招标文件要求。</w:t>
            </w:r>
            <w:r>
              <w:rPr>
                <w:rFonts w:hint="eastAsia"/>
                <w:b/>
                <w:bCs/>
                <w:color w:val="auto"/>
                <w:sz w:val="24"/>
                <w:highlight w:val="none"/>
              </w:rPr>
              <w:t>中、英文招标文件如有冲突，以中文为准。</w:t>
            </w:r>
          </w:p>
        </w:tc>
      </w:tr>
    </w:tbl>
    <w:p w14:paraId="052B457E">
      <w:pPr>
        <w:spacing w:line="360" w:lineRule="auto"/>
        <w:ind w:firstLine="723" w:firstLineChars="200"/>
        <w:rPr>
          <w:rFonts w:asciiTheme="minorEastAsia" w:hAnsiTheme="minorEastAsia" w:eastAsiaTheme="minorEastAsia"/>
          <w:b/>
          <w:color w:val="auto"/>
          <w:sz w:val="36"/>
          <w:highlight w:val="none"/>
        </w:rPr>
      </w:pPr>
    </w:p>
    <w:p w14:paraId="68159730">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1F55F0EB">
      <w:pPr>
        <w:spacing w:line="360" w:lineRule="auto"/>
        <w:jc w:val="center"/>
        <w:rPr>
          <w:rFonts w:ascii="黑体" w:hAnsi="黑体" w:eastAsia="黑体"/>
          <w:b/>
          <w:color w:val="auto"/>
          <w:sz w:val="52"/>
          <w:highlight w:val="none"/>
        </w:rPr>
      </w:pPr>
    </w:p>
    <w:p w14:paraId="3F08311A">
      <w:pPr>
        <w:spacing w:line="360" w:lineRule="auto"/>
        <w:jc w:val="center"/>
        <w:rPr>
          <w:rFonts w:ascii="黑体" w:hAnsi="黑体" w:eastAsia="黑体"/>
          <w:b/>
          <w:color w:val="auto"/>
          <w:sz w:val="52"/>
          <w:highlight w:val="none"/>
        </w:rPr>
      </w:pPr>
    </w:p>
    <w:p w14:paraId="38508218">
      <w:pPr>
        <w:spacing w:line="360" w:lineRule="auto"/>
        <w:jc w:val="center"/>
        <w:rPr>
          <w:rFonts w:ascii="黑体" w:hAnsi="黑体" w:eastAsia="黑体"/>
          <w:b/>
          <w:color w:val="auto"/>
          <w:sz w:val="52"/>
          <w:highlight w:val="none"/>
        </w:rPr>
      </w:pPr>
    </w:p>
    <w:p w14:paraId="039BAFC9">
      <w:pPr>
        <w:spacing w:line="360" w:lineRule="auto"/>
        <w:jc w:val="center"/>
        <w:rPr>
          <w:rFonts w:ascii="黑体" w:hAnsi="黑体" w:eastAsia="黑体"/>
          <w:b/>
          <w:color w:val="auto"/>
          <w:sz w:val="52"/>
          <w:highlight w:val="none"/>
        </w:rPr>
      </w:pPr>
    </w:p>
    <w:p w14:paraId="06B35610">
      <w:pPr>
        <w:pStyle w:val="2"/>
        <w:jc w:val="center"/>
        <w:rPr>
          <w:rFonts w:ascii="黑体" w:hAnsi="黑体" w:eastAsia="黑体"/>
          <w:color w:val="auto"/>
          <w:sz w:val="52"/>
          <w:highlight w:val="none"/>
        </w:rPr>
      </w:pPr>
      <w:r>
        <w:rPr>
          <w:rFonts w:ascii="黑体" w:hAnsi="黑体" w:eastAsia="黑体"/>
          <w:color w:val="auto"/>
          <w:sz w:val="52"/>
          <w:highlight w:val="none"/>
        </w:rPr>
        <w:t xml:space="preserve"> </w:t>
      </w:r>
      <w:bookmarkStart w:id="3" w:name="_Toc142988043"/>
      <w:r>
        <w:rPr>
          <w:rFonts w:hint="eastAsia" w:ascii="黑体" w:hAnsi="黑体" w:eastAsia="黑体"/>
          <w:color w:val="auto"/>
          <w:sz w:val="52"/>
          <w:highlight w:val="none"/>
        </w:rPr>
        <w:t>货物需求一览表及技术规格</w:t>
      </w:r>
      <w:bookmarkEnd w:id="3"/>
    </w:p>
    <w:p w14:paraId="28F96574">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02B5CB1E">
      <w:pPr>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rPr>
        <w:t>一、货物需求一览表</w:t>
      </w:r>
    </w:p>
    <w:p w14:paraId="133DE550">
      <w:pPr>
        <w:spacing w:line="360" w:lineRule="auto"/>
        <w:jc w:val="center"/>
        <w:rPr>
          <w:rFonts w:asciiTheme="minorEastAsia" w:hAnsiTheme="minorEastAsia" w:eastAsiaTheme="minorEastAsia"/>
          <w:b/>
          <w:color w:val="auto"/>
          <w:sz w:val="36"/>
          <w:highlight w:val="none"/>
        </w:rPr>
      </w:pPr>
    </w:p>
    <w:tbl>
      <w:tblPr>
        <w:tblStyle w:val="17"/>
        <w:tblW w:w="10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2992"/>
        <w:gridCol w:w="1177"/>
        <w:gridCol w:w="3260"/>
        <w:gridCol w:w="1481"/>
      </w:tblGrid>
      <w:tr w14:paraId="52B5E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42" w:type="dxa"/>
            <w:vAlign w:val="center"/>
          </w:tcPr>
          <w:p w14:paraId="4892F65F">
            <w:pPr>
              <w:spacing w:line="360" w:lineRule="auto"/>
              <w:jc w:val="center"/>
              <w:rPr>
                <w:rFonts w:ascii="宋体" w:hAnsi="宋体" w:cs="Arial"/>
                <w:b/>
                <w:color w:val="auto"/>
                <w:sz w:val="24"/>
                <w:szCs w:val="22"/>
                <w:highlight w:val="none"/>
              </w:rPr>
            </w:pPr>
            <w:r>
              <w:rPr>
                <w:rFonts w:hint="eastAsia" w:ascii="宋体" w:hAnsi="宋体" w:cs="Arial"/>
                <w:b/>
                <w:color w:val="auto"/>
                <w:sz w:val="24"/>
                <w:szCs w:val="22"/>
                <w:highlight w:val="none"/>
              </w:rPr>
              <w:t>序号</w:t>
            </w:r>
          </w:p>
        </w:tc>
        <w:tc>
          <w:tcPr>
            <w:tcW w:w="2992" w:type="dxa"/>
            <w:vAlign w:val="center"/>
          </w:tcPr>
          <w:p w14:paraId="49026FDB">
            <w:pPr>
              <w:spacing w:line="360" w:lineRule="auto"/>
              <w:jc w:val="center"/>
              <w:rPr>
                <w:rFonts w:ascii="宋体" w:hAnsi="宋体" w:cs="Arial"/>
                <w:b/>
                <w:color w:val="auto"/>
                <w:sz w:val="24"/>
                <w:szCs w:val="22"/>
                <w:highlight w:val="none"/>
              </w:rPr>
            </w:pPr>
            <w:r>
              <w:rPr>
                <w:rFonts w:ascii="宋体" w:hAnsi="宋体" w:cs="Arial"/>
                <w:b/>
                <w:color w:val="auto"/>
                <w:sz w:val="24"/>
                <w:szCs w:val="22"/>
                <w:highlight w:val="none"/>
              </w:rPr>
              <w:t>货物名称</w:t>
            </w:r>
          </w:p>
        </w:tc>
        <w:tc>
          <w:tcPr>
            <w:tcW w:w="1177" w:type="dxa"/>
            <w:vAlign w:val="center"/>
          </w:tcPr>
          <w:p w14:paraId="7D89FA20">
            <w:pPr>
              <w:spacing w:line="360" w:lineRule="auto"/>
              <w:jc w:val="center"/>
              <w:rPr>
                <w:rFonts w:ascii="宋体" w:hAnsi="宋体" w:cs="Arial"/>
                <w:b/>
                <w:color w:val="auto"/>
                <w:sz w:val="24"/>
                <w:szCs w:val="22"/>
                <w:highlight w:val="none"/>
              </w:rPr>
            </w:pPr>
            <w:r>
              <w:rPr>
                <w:rFonts w:ascii="宋体" w:hAnsi="宋体" w:cs="Arial"/>
                <w:b/>
                <w:color w:val="auto"/>
                <w:sz w:val="24"/>
                <w:szCs w:val="22"/>
                <w:highlight w:val="none"/>
              </w:rPr>
              <w:t>数量</w:t>
            </w:r>
          </w:p>
        </w:tc>
        <w:tc>
          <w:tcPr>
            <w:tcW w:w="3260" w:type="dxa"/>
            <w:vAlign w:val="center"/>
          </w:tcPr>
          <w:p w14:paraId="314D8819">
            <w:pPr>
              <w:spacing w:line="360" w:lineRule="auto"/>
              <w:jc w:val="center"/>
              <w:rPr>
                <w:rFonts w:ascii="宋体" w:hAnsi="宋体" w:cs="Arial"/>
                <w:b/>
                <w:color w:val="auto"/>
                <w:sz w:val="24"/>
                <w:szCs w:val="22"/>
                <w:highlight w:val="none"/>
              </w:rPr>
            </w:pPr>
            <w:r>
              <w:rPr>
                <w:rFonts w:ascii="宋体" w:hAnsi="宋体" w:cs="Arial"/>
                <w:b/>
                <w:color w:val="auto"/>
                <w:sz w:val="24"/>
                <w:szCs w:val="22"/>
                <w:highlight w:val="none"/>
              </w:rPr>
              <w:t>交货期</w:t>
            </w:r>
          </w:p>
        </w:tc>
        <w:tc>
          <w:tcPr>
            <w:tcW w:w="1481" w:type="dxa"/>
            <w:vAlign w:val="center"/>
          </w:tcPr>
          <w:p w14:paraId="066B0545">
            <w:pPr>
              <w:spacing w:line="360" w:lineRule="auto"/>
              <w:jc w:val="center"/>
              <w:rPr>
                <w:rFonts w:ascii="宋体" w:hAnsi="宋体" w:cs="Arial"/>
                <w:b/>
                <w:color w:val="auto"/>
                <w:sz w:val="24"/>
                <w:szCs w:val="22"/>
                <w:highlight w:val="none"/>
              </w:rPr>
            </w:pPr>
            <w:r>
              <w:rPr>
                <w:rFonts w:ascii="宋体" w:hAnsi="宋体" w:cs="Arial"/>
                <w:b/>
                <w:color w:val="auto"/>
                <w:sz w:val="24"/>
                <w:szCs w:val="22"/>
                <w:highlight w:val="none"/>
              </w:rPr>
              <w:t>备注</w:t>
            </w:r>
          </w:p>
        </w:tc>
      </w:tr>
      <w:tr w14:paraId="2B358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142" w:type="dxa"/>
            <w:vAlign w:val="center"/>
          </w:tcPr>
          <w:p w14:paraId="278E7FD5">
            <w:pPr>
              <w:jc w:val="center"/>
              <w:rPr>
                <w:rFonts w:ascii="Arial" w:hAnsi="宋体"/>
                <w:color w:val="auto"/>
                <w:sz w:val="24"/>
                <w:szCs w:val="24"/>
                <w:highlight w:val="none"/>
              </w:rPr>
            </w:pPr>
            <w:r>
              <w:rPr>
                <w:rFonts w:hint="eastAsia" w:ascii="Arial" w:hAnsi="宋体"/>
                <w:color w:val="auto"/>
                <w:sz w:val="24"/>
                <w:szCs w:val="24"/>
                <w:highlight w:val="none"/>
              </w:rPr>
              <w:t>01</w:t>
            </w:r>
          </w:p>
        </w:tc>
        <w:tc>
          <w:tcPr>
            <w:tcW w:w="2992" w:type="dxa"/>
            <w:vAlign w:val="center"/>
          </w:tcPr>
          <w:p w14:paraId="757D0F8B">
            <w:pPr>
              <w:jc w:val="center"/>
              <w:rPr>
                <w:rFonts w:hint="eastAsia" w:ascii="Arial" w:hAnsi="宋体" w:eastAsia="宋体"/>
                <w:color w:val="auto"/>
                <w:sz w:val="24"/>
                <w:szCs w:val="24"/>
                <w:highlight w:val="none"/>
                <w:lang w:eastAsia="zh-CN"/>
              </w:rPr>
            </w:pPr>
            <w:r>
              <w:rPr>
                <w:rFonts w:hint="eastAsia" w:ascii="Arial" w:hAnsi="宋体"/>
                <w:color w:val="auto"/>
                <w:sz w:val="24"/>
                <w:szCs w:val="24"/>
                <w:highlight w:val="none"/>
                <w:lang w:eastAsia="zh-CN"/>
              </w:rPr>
              <w:t>机芯动平衡机</w:t>
            </w:r>
          </w:p>
        </w:tc>
        <w:tc>
          <w:tcPr>
            <w:tcW w:w="1177" w:type="dxa"/>
            <w:vAlign w:val="center"/>
          </w:tcPr>
          <w:p w14:paraId="56AC4810">
            <w:pPr>
              <w:jc w:val="center"/>
              <w:rPr>
                <w:rFonts w:ascii="Arial" w:hAnsi="宋体"/>
                <w:color w:val="auto"/>
                <w:sz w:val="24"/>
                <w:szCs w:val="24"/>
                <w:highlight w:val="none"/>
              </w:rPr>
            </w:pPr>
            <w:r>
              <w:rPr>
                <w:rFonts w:hint="eastAsia" w:ascii="Arial" w:hAnsi="宋体"/>
                <w:color w:val="auto"/>
                <w:sz w:val="24"/>
                <w:szCs w:val="24"/>
                <w:highlight w:val="none"/>
                <w:lang w:val="en-US" w:eastAsia="zh-CN"/>
              </w:rPr>
              <w:t>3</w:t>
            </w:r>
            <w:r>
              <w:rPr>
                <w:rFonts w:hint="eastAsia" w:ascii="Arial" w:hAnsi="宋体"/>
                <w:color w:val="auto"/>
                <w:sz w:val="24"/>
                <w:szCs w:val="24"/>
                <w:highlight w:val="none"/>
              </w:rPr>
              <w:t>台</w:t>
            </w:r>
          </w:p>
        </w:tc>
        <w:tc>
          <w:tcPr>
            <w:tcW w:w="3260" w:type="dxa"/>
            <w:vAlign w:val="center"/>
          </w:tcPr>
          <w:p w14:paraId="2A556841">
            <w:pPr>
              <w:jc w:val="center"/>
              <w:rPr>
                <w:rFonts w:ascii="Arial" w:cs="Arial"/>
                <w:b/>
                <w:bCs/>
                <w:color w:val="auto"/>
                <w:highlight w:val="none"/>
              </w:rPr>
            </w:pPr>
            <w:r>
              <w:rPr>
                <w:rFonts w:hint="eastAsia" w:ascii="Arial" w:hAnsi="宋体"/>
                <w:color w:val="auto"/>
                <w:sz w:val="24"/>
                <w:szCs w:val="24"/>
                <w:highlight w:val="none"/>
                <w:lang w:eastAsia="zh-CN"/>
              </w:rPr>
              <w:t>合同生效后 6个月</w:t>
            </w:r>
          </w:p>
        </w:tc>
        <w:tc>
          <w:tcPr>
            <w:tcW w:w="1481" w:type="dxa"/>
            <w:vAlign w:val="center"/>
          </w:tcPr>
          <w:p w14:paraId="298D424F">
            <w:pPr>
              <w:widowControl/>
              <w:jc w:val="center"/>
              <w:rPr>
                <w:rFonts w:ascii="Arial" w:hAnsi="Arial"/>
                <w:color w:val="auto"/>
                <w:szCs w:val="21"/>
                <w:highlight w:val="none"/>
              </w:rPr>
            </w:pPr>
            <w:r>
              <w:rPr>
                <w:rFonts w:ascii="宋体" w:hAnsi="宋体"/>
                <w:bCs/>
                <w:color w:val="auto"/>
                <w:kern w:val="0"/>
                <w:sz w:val="24"/>
                <w:szCs w:val="24"/>
                <w:highlight w:val="none"/>
              </w:rPr>
              <w:t>/</w:t>
            </w:r>
          </w:p>
        </w:tc>
      </w:tr>
    </w:tbl>
    <w:p w14:paraId="3FDA3B7C">
      <w:pPr>
        <w:spacing w:line="360" w:lineRule="auto"/>
        <w:ind w:firstLine="723" w:firstLineChars="200"/>
        <w:rPr>
          <w:rFonts w:asciiTheme="minorEastAsia" w:hAnsiTheme="minorEastAsia" w:eastAsiaTheme="minorEastAsia"/>
          <w:b/>
          <w:color w:val="auto"/>
          <w:sz w:val="36"/>
          <w:highlight w:val="none"/>
        </w:rPr>
      </w:pPr>
    </w:p>
    <w:p w14:paraId="3228D9FE">
      <w:pPr>
        <w:widowControl/>
        <w:jc w:val="left"/>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br w:type="page"/>
      </w:r>
    </w:p>
    <w:p w14:paraId="643FA5DC">
      <w:pPr>
        <w:numPr>
          <w:ilvl w:val="0"/>
          <w:numId w:val="6"/>
        </w:numPr>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rPr>
        <w:t>技术规格</w:t>
      </w:r>
    </w:p>
    <w:p w14:paraId="78CAD8C9">
      <w:pPr>
        <w:rPr>
          <w:rFonts w:hint="eastAsia"/>
          <w:color w:val="auto"/>
          <w:highlight w:val="none"/>
          <w:lang w:eastAsia="zh-CN"/>
        </w:rPr>
      </w:pPr>
    </w:p>
    <w:p w14:paraId="0AD43FF4">
      <w:pPr>
        <w:rPr>
          <w:rFonts w:hint="default"/>
          <w:color w:val="auto"/>
          <w:highlight w:val="none"/>
          <w:lang w:eastAsia="zh-CN"/>
        </w:rPr>
      </w:pPr>
      <w:sdt>
        <w:sdtPr>
          <w:rPr>
            <w:rFonts w:hint="eastAsia"/>
            <w:color w:val="auto"/>
            <w:highlight w:val="none"/>
            <w:lang w:eastAsia="zh-CN"/>
          </w:rPr>
          <w:id w:val="-1064641092"/>
          <w:lock w:val="sdtLocked"/>
        </w:sdtPr>
        <w:sdtEndPr>
          <w:rPr>
            <w:rFonts w:hint="eastAsia"/>
            <w:color w:val="auto"/>
            <w:highlight w:val="none"/>
            <w:lang w:eastAsia="zh-CN"/>
          </w:rPr>
        </w:sdtEndPr>
        <w:sdtContent>
          <w:bookmarkStart w:id="4" w:name="_Hlk159334238"/>
          <w:sdt>
            <w:sdtPr>
              <w:rPr>
                <w:rFonts w:hint="eastAsia"/>
                <w:color w:val="auto"/>
                <w:highlight w:val="none"/>
                <w:lang w:eastAsia="zh-CN"/>
              </w:rPr>
              <w:id w:val="484355572"/>
              <w:lock w:val="sdtLocked"/>
              <w:showingPlcHdr/>
            </w:sdtPr>
            <w:sdtEndPr>
              <w:rPr>
                <w:rFonts w:hint="eastAsia"/>
                <w:color w:val="auto"/>
                <w:highlight w:val="none"/>
                <w:lang w:eastAsia="zh-CN"/>
              </w:rPr>
            </w:sdtEndPr>
            <w:sdtContent>
              <w:r>
                <w:rPr>
                  <w:rFonts w:hint="eastAsia"/>
                  <w:color w:val="auto"/>
                  <w:highlight w:val="none"/>
                  <w:lang w:eastAsia="zh-CN"/>
                </w:rPr>
                <w:t xml:space="preserve">     </w:t>
              </w:r>
            </w:sdtContent>
          </w:sdt>
        </w:sdtContent>
      </w:sdt>
    </w:p>
    <w:p w14:paraId="054FE6A6">
      <w:pPr>
        <w:widowControl/>
        <w:spacing w:beforeLines="0" w:afterLines="0" w:line="360" w:lineRule="auto"/>
        <w:jc w:val="left"/>
        <w:rPr>
          <w:rFonts w:hint="default" w:ascii="Arial" w:hAnsi="宋体" w:eastAsia="Times New Roman" w:cs="Arial"/>
          <w:color w:val="auto"/>
          <w:kern w:val="0"/>
          <w:sz w:val="24"/>
          <w:szCs w:val="24"/>
          <w:highlight w:val="none"/>
          <w:lang w:eastAsia="zh-CN"/>
        </w:rPr>
      </w:pPr>
      <w:r>
        <w:rPr>
          <w:rFonts w:hint="default" w:ascii="Arial" w:hAnsi="宋体" w:cs="Arial"/>
          <w:b/>
          <w:color w:val="auto"/>
          <w:kern w:val="0"/>
          <w:sz w:val="24"/>
          <w:szCs w:val="24"/>
          <w:highlight w:val="none"/>
          <w:lang w:eastAsia="zh-CN"/>
        </w:rPr>
        <w:t>1</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设备名称：机芯动平衡机</w:t>
      </w:r>
    </w:p>
    <w:p w14:paraId="735A5457">
      <w:pPr>
        <w:widowControl/>
        <w:spacing w:beforeLines="0" w:afterLines="0" w:line="360" w:lineRule="auto"/>
        <w:jc w:val="left"/>
        <w:rPr>
          <w:rFonts w:hint="default" w:ascii="Arial" w:cs="Arial"/>
          <w:b/>
          <w:color w:val="auto"/>
          <w:kern w:val="0"/>
          <w:sz w:val="24"/>
          <w:szCs w:val="24"/>
          <w:highlight w:val="none"/>
          <w:lang w:eastAsia="zh-CN"/>
        </w:rPr>
      </w:pPr>
      <w:r>
        <w:rPr>
          <w:rFonts w:hint="default" w:ascii="Arial" w:hAnsi="宋体" w:cs="Arial"/>
          <w:b/>
          <w:color w:val="auto"/>
          <w:kern w:val="0"/>
          <w:sz w:val="24"/>
          <w:szCs w:val="24"/>
          <w:highlight w:val="none"/>
          <w:lang w:eastAsia="zh-CN"/>
        </w:rPr>
        <w:t>2</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数</w:t>
      </w:r>
      <w:r>
        <w:rPr>
          <w:rFonts w:hint="default" w:ascii="Arial" w:hAnsi="Arial" w:cs="Arial"/>
          <w:color w:val="auto"/>
          <w:kern w:val="0"/>
          <w:sz w:val="24"/>
          <w:szCs w:val="24"/>
          <w:highlight w:val="none"/>
          <w:lang w:eastAsia="zh-CN"/>
        </w:rPr>
        <w:t xml:space="preserve">    </w:t>
      </w:r>
      <w:r>
        <w:rPr>
          <w:rFonts w:hint="eastAsia" w:ascii="Arial" w:hAnsi="宋体" w:cs="宋体"/>
          <w:color w:val="auto"/>
          <w:kern w:val="0"/>
          <w:sz w:val="24"/>
          <w:szCs w:val="24"/>
          <w:highlight w:val="none"/>
          <w:lang w:eastAsia="zh-CN"/>
        </w:rPr>
        <w:t>量：</w:t>
      </w:r>
      <w:r>
        <w:rPr>
          <w:rFonts w:hint="eastAsia" w:ascii="Arial" w:hAnsi="Arial" w:cs="Arial"/>
          <w:color w:val="auto"/>
          <w:kern w:val="0"/>
          <w:sz w:val="24"/>
          <w:szCs w:val="24"/>
          <w:highlight w:val="none"/>
          <w:lang w:val="en-US" w:eastAsia="zh-CN"/>
        </w:rPr>
        <w:t>3</w:t>
      </w:r>
      <w:r>
        <w:rPr>
          <w:rFonts w:hint="eastAsia" w:ascii="Arial" w:hAnsi="宋体" w:cs="宋体"/>
          <w:color w:val="auto"/>
          <w:kern w:val="0"/>
          <w:sz w:val="24"/>
          <w:szCs w:val="24"/>
          <w:highlight w:val="none"/>
          <w:lang w:eastAsia="zh-CN"/>
        </w:rPr>
        <w:t>台</w:t>
      </w:r>
    </w:p>
    <w:p w14:paraId="1E741FE0">
      <w:pPr>
        <w:widowControl/>
        <w:spacing w:beforeLines="0" w:afterLines="0" w:line="360" w:lineRule="auto"/>
        <w:jc w:val="left"/>
        <w:rPr>
          <w:rFonts w:hint="default" w:ascii="Arial" w:cs="Arial"/>
          <w:b/>
          <w:color w:val="auto"/>
          <w:kern w:val="0"/>
          <w:sz w:val="24"/>
          <w:szCs w:val="24"/>
          <w:highlight w:val="none"/>
          <w:lang w:eastAsia="zh-CN"/>
        </w:rPr>
      </w:pPr>
      <w:r>
        <w:rPr>
          <w:rFonts w:hint="default" w:ascii="Arial" w:hAnsi="宋体" w:cs="Arial"/>
          <w:b/>
          <w:color w:val="auto"/>
          <w:kern w:val="0"/>
          <w:sz w:val="24"/>
          <w:szCs w:val="24"/>
          <w:highlight w:val="none"/>
          <w:lang w:eastAsia="zh-CN"/>
        </w:rPr>
        <w:t>3</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报价币种：欧元</w:t>
      </w:r>
    </w:p>
    <w:p w14:paraId="69D3F03E">
      <w:pPr>
        <w:widowControl/>
        <w:spacing w:beforeLines="0" w:afterLines="0" w:line="360" w:lineRule="auto"/>
        <w:jc w:val="left"/>
        <w:rPr>
          <w:rFonts w:hint="default" w:ascii="Arial" w:cs="Arial"/>
          <w:b/>
          <w:color w:val="auto"/>
          <w:kern w:val="0"/>
          <w:sz w:val="24"/>
          <w:szCs w:val="24"/>
          <w:highlight w:val="none"/>
          <w:lang w:eastAsia="zh-CN"/>
        </w:rPr>
      </w:pPr>
      <w:r>
        <w:rPr>
          <w:rFonts w:hint="default" w:ascii="Arial" w:hAnsi="宋体" w:cs="Arial"/>
          <w:b/>
          <w:color w:val="auto"/>
          <w:kern w:val="0"/>
          <w:sz w:val="24"/>
          <w:szCs w:val="24"/>
          <w:highlight w:val="none"/>
          <w:lang w:eastAsia="zh-CN"/>
        </w:rPr>
        <w:t>4</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报价方式：</w:t>
      </w:r>
      <w:r>
        <w:rPr>
          <w:rFonts w:hint="default" w:ascii="Arial" w:hAnsi="宋体" w:cs="宋体"/>
          <w:color w:val="auto"/>
          <w:kern w:val="0"/>
          <w:sz w:val="24"/>
          <w:szCs w:val="24"/>
          <w:highlight w:val="none"/>
          <w:lang w:eastAsia="zh-CN"/>
        </w:rPr>
        <w:t>CIF</w:t>
      </w:r>
      <w:r>
        <w:rPr>
          <w:rFonts w:hint="eastAsia" w:ascii="Arial" w:hAnsi="宋体" w:cs="宋体"/>
          <w:color w:val="auto"/>
          <w:kern w:val="0"/>
          <w:sz w:val="24"/>
          <w:szCs w:val="24"/>
          <w:highlight w:val="none"/>
          <w:lang w:eastAsia="zh-CN"/>
        </w:rPr>
        <w:t>宁波港</w:t>
      </w:r>
    </w:p>
    <w:p w14:paraId="0F4E10CD">
      <w:pPr>
        <w:widowControl/>
        <w:spacing w:beforeLines="0" w:afterLines="0" w:line="360" w:lineRule="auto"/>
        <w:jc w:val="left"/>
        <w:rPr>
          <w:rFonts w:hint="default" w:ascii="Arial" w:cs="Arial"/>
          <w:b/>
          <w:color w:val="auto"/>
          <w:kern w:val="0"/>
          <w:sz w:val="24"/>
          <w:szCs w:val="24"/>
          <w:highlight w:val="none"/>
          <w:lang w:eastAsia="zh-CN"/>
        </w:rPr>
      </w:pPr>
      <w:r>
        <w:rPr>
          <w:rFonts w:hint="default" w:ascii="Arial" w:hAnsi="宋体" w:cs="Arial"/>
          <w:b/>
          <w:color w:val="auto"/>
          <w:kern w:val="0"/>
          <w:sz w:val="24"/>
          <w:szCs w:val="24"/>
          <w:highlight w:val="none"/>
          <w:lang w:eastAsia="zh-CN"/>
        </w:rPr>
        <w:t>5</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交货期：合同生效后</w:t>
      </w:r>
      <w:r>
        <w:rPr>
          <w:rFonts w:hint="default" w:ascii="Arial" w:hAnsi="Arial" w:cs="Arial"/>
          <w:color w:val="auto"/>
          <w:kern w:val="0"/>
          <w:sz w:val="24"/>
          <w:szCs w:val="24"/>
          <w:highlight w:val="none"/>
          <w:lang w:eastAsia="zh-CN"/>
        </w:rPr>
        <w:t xml:space="preserve"> 6</w:t>
      </w:r>
      <w:r>
        <w:rPr>
          <w:rFonts w:hint="eastAsia" w:ascii="Arial" w:hAnsi="宋体" w:cs="宋体"/>
          <w:color w:val="auto"/>
          <w:kern w:val="0"/>
          <w:sz w:val="24"/>
          <w:szCs w:val="24"/>
          <w:highlight w:val="none"/>
          <w:lang w:eastAsia="zh-CN"/>
        </w:rPr>
        <w:t>个月</w:t>
      </w:r>
    </w:p>
    <w:p w14:paraId="5DF5EC90">
      <w:pPr>
        <w:widowControl/>
        <w:spacing w:beforeLines="0" w:afterLines="0" w:line="360" w:lineRule="auto"/>
        <w:jc w:val="left"/>
        <w:rPr>
          <w:rFonts w:hint="default" w:ascii="Arial" w:cs="Arial"/>
          <w:b/>
          <w:color w:val="auto"/>
          <w:kern w:val="0"/>
          <w:sz w:val="24"/>
          <w:szCs w:val="24"/>
          <w:highlight w:val="none"/>
          <w:lang w:eastAsia="zh-CN"/>
        </w:rPr>
      </w:pPr>
      <w:r>
        <w:rPr>
          <w:rFonts w:hint="default" w:ascii="Arial" w:hAnsi="宋体" w:cs="Arial"/>
          <w:b/>
          <w:color w:val="auto"/>
          <w:kern w:val="0"/>
          <w:sz w:val="24"/>
          <w:szCs w:val="24"/>
          <w:highlight w:val="none"/>
          <w:lang w:eastAsia="zh-CN"/>
        </w:rPr>
        <w:t>6</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设备用途及基本要求：</w:t>
      </w:r>
    </w:p>
    <w:p w14:paraId="3DA4A98F">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6.1  </w:t>
      </w:r>
      <w:r>
        <w:rPr>
          <w:rFonts w:hint="eastAsia" w:ascii="Arial" w:hAnsi="宋体" w:cs="宋体"/>
          <w:color w:val="auto"/>
          <w:kern w:val="0"/>
          <w:sz w:val="24"/>
          <w:szCs w:val="24"/>
          <w:highlight w:val="none"/>
          <w:lang w:eastAsia="zh-CN"/>
        </w:rPr>
        <w:t>该设备用于</w:t>
      </w:r>
      <w:r>
        <w:rPr>
          <w:rFonts w:hint="eastAsia" w:cs="宋体"/>
          <w:color w:val="auto"/>
          <w:kern w:val="0"/>
          <w:sz w:val="24"/>
          <w:szCs w:val="24"/>
          <w:highlight w:val="none"/>
          <w:lang w:eastAsia="zh-CN"/>
        </w:rPr>
        <w:t>涡轮增压器机芯部件的高速动平衡，具备双面振动和不平衡量的测量，单面或双面自动校正，以及脉冲分析等功能。具备良好的工装互换性，测量精度高，生产效率高</w:t>
      </w:r>
      <w:r>
        <w:rPr>
          <w:rFonts w:hint="eastAsia" w:ascii="Arial" w:hAnsi="宋体" w:cs="宋体"/>
          <w:color w:val="auto"/>
          <w:kern w:val="0"/>
          <w:sz w:val="24"/>
          <w:szCs w:val="24"/>
          <w:highlight w:val="none"/>
          <w:lang w:eastAsia="zh-CN"/>
        </w:rPr>
        <w:t>，机床操作、维修方便，造型美观，售后服务优良。</w:t>
      </w:r>
    </w:p>
    <w:p w14:paraId="03BE4CE2">
      <w:pPr>
        <w:widowControl/>
        <w:spacing w:beforeLines="0" w:afterLines="0" w:line="360" w:lineRule="auto"/>
        <w:ind w:firstLine="480" w:firstLineChars="200"/>
        <w:jc w:val="left"/>
        <w:rPr>
          <w:rFonts w:hint="default" w:ascii="Arial" w:cs="宋体"/>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6.2  </w:t>
      </w:r>
      <w:r>
        <w:rPr>
          <w:rFonts w:hint="eastAsia" w:ascii="Arial" w:hAnsi="Arial" w:cs="Arial"/>
          <w:color w:val="auto"/>
          <w:kern w:val="0"/>
          <w:sz w:val="24"/>
          <w:szCs w:val="24"/>
          <w:highlight w:val="none"/>
          <w:lang w:eastAsia="zh-CN"/>
        </w:rPr>
        <w:t>加工内容：机芯部件</w:t>
      </w:r>
      <w:r>
        <w:rPr>
          <w:rFonts w:hint="default" w:ascii="Arial" w:hAnsi="Arial" w:cs="Arial"/>
          <w:color w:val="auto"/>
          <w:kern w:val="0"/>
          <w:sz w:val="24"/>
          <w:szCs w:val="24"/>
          <w:highlight w:val="none"/>
          <w:lang w:eastAsia="zh-CN"/>
        </w:rPr>
        <w:t>BYD472 ZQB</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1014040089</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HG15T</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1014030080</w:t>
      </w:r>
      <w:r>
        <w:rPr>
          <w:rFonts w:hint="eastAsia" w:ascii="Arial" w:hAnsi="Arial" w:cs="Arial"/>
          <w:color w:val="auto"/>
          <w:kern w:val="0"/>
          <w:sz w:val="24"/>
          <w:szCs w:val="24"/>
          <w:highlight w:val="none"/>
          <w:lang w:eastAsia="zh-CN"/>
        </w:rPr>
        <w:t>）</w:t>
      </w:r>
    </w:p>
    <w:p w14:paraId="1D9407E5">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6.3  </w:t>
      </w:r>
      <w:r>
        <w:rPr>
          <w:rFonts w:hint="eastAsia" w:ascii="Arial" w:hAnsi="Arial" w:cs="Arial"/>
          <w:color w:val="auto"/>
          <w:kern w:val="0"/>
          <w:sz w:val="24"/>
          <w:szCs w:val="24"/>
          <w:highlight w:val="none"/>
          <w:lang w:eastAsia="zh-CN"/>
        </w:rPr>
        <w:t>手动上下料至托盘，再由机械手自动抓取零件进入加工仓。</w:t>
      </w:r>
    </w:p>
    <w:p w14:paraId="7B084E64">
      <w:pPr>
        <w:widowControl/>
        <w:spacing w:beforeLines="0" w:afterLines="0" w:line="360" w:lineRule="auto"/>
        <w:ind w:firstLine="480" w:firstLineChars="200"/>
        <w:jc w:val="left"/>
        <w:rPr>
          <w:rFonts w:hint="default" w:ascii="Arial" w:hAnsi="宋体" w:eastAsia="Times New Roman" w:cs="Arial"/>
          <w:color w:val="auto"/>
          <w:kern w:val="0"/>
          <w:sz w:val="24"/>
          <w:szCs w:val="24"/>
          <w:highlight w:val="none"/>
          <w:lang w:eastAsia="zh-CN"/>
        </w:rPr>
      </w:pPr>
      <w:r>
        <w:rPr>
          <w:rFonts w:hint="default" w:ascii="Arial" w:hAnsi="Arial" w:cs="Arial"/>
          <w:color w:val="auto"/>
          <w:kern w:val="0"/>
          <w:sz w:val="24"/>
          <w:szCs w:val="24"/>
          <w:highlight w:val="none"/>
          <w:lang w:eastAsia="zh-CN"/>
        </w:rPr>
        <w:t>6</w:t>
      </w:r>
      <w:r>
        <w:rPr>
          <w:rFonts w:hint="default" w:asci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 xml:space="preserve">4  </w:t>
      </w:r>
      <w:r>
        <w:rPr>
          <w:rFonts w:hint="eastAsia" w:ascii="Arial" w:hAnsi="宋体" w:cs="宋体"/>
          <w:color w:val="auto"/>
          <w:kern w:val="0"/>
          <w:sz w:val="24"/>
          <w:szCs w:val="24"/>
          <w:highlight w:val="none"/>
          <w:lang w:eastAsia="zh-CN"/>
        </w:rPr>
        <w:t>具有此类零件的加工经验。</w:t>
      </w:r>
    </w:p>
    <w:p w14:paraId="5146399A">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cs="Arial"/>
          <w:color w:val="auto"/>
          <w:kern w:val="0"/>
          <w:sz w:val="24"/>
          <w:szCs w:val="24"/>
          <w:highlight w:val="none"/>
          <w:lang w:eastAsia="zh-CN"/>
        </w:rPr>
        <w:t xml:space="preserve">6.5  </w:t>
      </w:r>
      <w:r>
        <w:rPr>
          <w:rFonts w:hint="eastAsia" w:ascii="Arial" w:cs="宋体"/>
          <w:color w:val="auto"/>
          <w:kern w:val="0"/>
          <w:sz w:val="24"/>
          <w:szCs w:val="24"/>
          <w:highlight w:val="none"/>
          <w:lang w:eastAsia="zh-CN"/>
        </w:rPr>
        <w:t>要求在一台设备上能生产所列的两个品种，各品种间的更换要求可靠、方便、快捷。若采用多套夹具，夹具须备齐。</w:t>
      </w:r>
      <w:r>
        <w:rPr>
          <w:rFonts w:hint="eastAsia" w:ascii="Arial" w:hAnsi="Arial" w:cs="Arial"/>
          <w:color w:val="auto"/>
          <w:kern w:val="0"/>
          <w:sz w:val="24"/>
          <w:szCs w:val="24"/>
          <w:highlight w:val="none"/>
          <w:lang w:eastAsia="zh-CN"/>
        </w:rPr>
        <w:t>预验收只加工一个工件</w:t>
      </w:r>
      <w:r>
        <w:rPr>
          <w:rFonts w:hint="default" w:ascii="Arial" w:hAnsi="Arial" w:cs="Arial"/>
          <w:color w:val="auto"/>
          <w:kern w:val="0"/>
          <w:sz w:val="24"/>
          <w:szCs w:val="24"/>
          <w:highlight w:val="none"/>
          <w:lang w:eastAsia="zh-CN"/>
        </w:rPr>
        <w:t>HG15T</w:t>
      </w:r>
      <w:r>
        <w:rPr>
          <w:rFonts w:hint="eastAsia" w:ascii="Arial" w:hAnsi="Arial" w:cs="Arial"/>
          <w:color w:val="auto"/>
          <w:kern w:val="0"/>
          <w:sz w:val="24"/>
          <w:szCs w:val="24"/>
          <w:highlight w:val="none"/>
          <w:lang w:eastAsia="zh-CN"/>
        </w:rPr>
        <w:t>，另一个工件</w:t>
      </w:r>
      <w:r>
        <w:rPr>
          <w:rFonts w:hint="default" w:ascii="Arial" w:hAnsi="Arial" w:cs="Arial"/>
          <w:color w:val="auto"/>
          <w:kern w:val="0"/>
          <w:sz w:val="24"/>
          <w:szCs w:val="24"/>
          <w:highlight w:val="none"/>
          <w:lang w:eastAsia="zh-CN"/>
        </w:rPr>
        <w:t>BYD472 ZQB</w:t>
      </w:r>
      <w:r>
        <w:rPr>
          <w:rFonts w:hint="eastAsia" w:ascii="Arial" w:cs="宋体"/>
          <w:color w:val="auto"/>
          <w:kern w:val="0"/>
          <w:sz w:val="24"/>
          <w:szCs w:val="24"/>
          <w:highlight w:val="none"/>
          <w:lang w:eastAsia="zh-CN"/>
        </w:rPr>
        <w:t>在终验收时由设备供应商当地的工程师协助客户完成，安装调试期间的刀具由设备供应商提供；</w:t>
      </w:r>
    </w:p>
    <w:p w14:paraId="435AB725">
      <w:pPr>
        <w:widowControl/>
        <w:spacing w:beforeLines="0" w:afterLines="0" w:line="360" w:lineRule="auto"/>
        <w:ind w:firstLine="480" w:firstLineChars="200"/>
        <w:jc w:val="left"/>
        <w:rPr>
          <w:rFonts w:hint="default" w:ascii="Arial" w:eastAsia="Times New Roman"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6.6  </w:t>
      </w:r>
      <w:r>
        <w:rPr>
          <w:rFonts w:hint="eastAsia" w:ascii="Arial" w:hAnsi="宋体" w:cs="宋体"/>
          <w:color w:val="auto"/>
          <w:kern w:val="0"/>
          <w:sz w:val="24"/>
          <w:szCs w:val="24"/>
          <w:highlight w:val="none"/>
          <w:lang w:eastAsia="zh-CN"/>
        </w:rPr>
        <w:t>加工节拍</w:t>
      </w:r>
      <w:r>
        <w:rPr>
          <w:rFonts w:hint="default" w:ascii="Arial" w:hAnsi="Arial" w:cs="Arial"/>
          <w:color w:val="auto"/>
          <w:kern w:val="0"/>
          <w:sz w:val="24"/>
          <w:szCs w:val="24"/>
          <w:highlight w:val="none"/>
          <w:lang w:eastAsia="zh-CN"/>
        </w:rPr>
        <w:t>:</w:t>
      </w:r>
      <w:r>
        <w:rPr>
          <w:rFonts w:hint="eastAsia" w:ascii="Arial" w:hAnsi="Arial" w:cs="Arial"/>
          <w:color w:val="auto"/>
          <w:kern w:val="0"/>
          <w:sz w:val="24"/>
          <w:szCs w:val="24"/>
          <w:highlight w:val="none"/>
          <w:lang w:eastAsia="zh-CN"/>
        </w:rPr>
        <w:t>一次去重合格时间</w:t>
      </w:r>
      <w:r>
        <w:rPr>
          <w:rFonts w:hint="default" w:ascii="Arial" w:hAnsi="Arial" w:cs="Arial"/>
          <w:color w:val="auto"/>
          <w:kern w:val="0"/>
          <w:sz w:val="24"/>
          <w:szCs w:val="24"/>
          <w:highlight w:val="none"/>
          <w:lang w:eastAsia="zh-CN"/>
        </w:rPr>
        <w:t>≤75</w:t>
      </w:r>
      <w:r>
        <w:rPr>
          <w:rFonts w:hint="eastAsia" w:ascii="Arial" w:hAnsi="宋体" w:cs="宋体"/>
          <w:color w:val="auto"/>
          <w:kern w:val="0"/>
          <w:sz w:val="24"/>
          <w:szCs w:val="24"/>
          <w:highlight w:val="none"/>
          <w:lang w:eastAsia="zh-CN"/>
        </w:rPr>
        <w:t>秒</w:t>
      </w:r>
      <w:r>
        <w:rPr>
          <w:rFonts w:hint="default" w:ascii="Arial" w:hAnsi="Arial" w:cs="Arial"/>
          <w:color w:val="auto"/>
          <w:kern w:val="0"/>
          <w:sz w:val="24"/>
          <w:szCs w:val="24"/>
          <w:highlight w:val="none"/>
          <w:lang w:eastAsia="zh-CN"/>
        </w:rPr>
        <w:t>/</w:t>
      </w:r>
      <w:r>
        <w:rPr>
          <w:rFonts w:hint="eastAsia" w:ascii="Arial" w:hAnsi="宋体" w:cs="宋体"/>
          <w:color w:val="auto"/>
          <w:kern w:val="0"/>
          <w:sz w:val="24"/>
          <w:szCs w:val="24"/>
          <w:highlight w:val="none"/>
          <w:lang w:eastAsia="zh-CN"/>
        </w:rPr>
        <w:t>件；换型时间</w:t>
      </w:r>
      <w:r>
        <w:rPr>
          <w:rFonts w:hint="default" w:ascii="Arial" w:hAnsi="Arial" w:cs="Arial"/>
          <w:color w:val="auto"/>
          <w:kern w:val="0"/>
          <w:sz w:val="24"/>
          <w:szCs w:val="24"/>
          <w:highlight w:val="none"/>
          <w:lang w:eastAsia="zh-CN"/>
        </w:rPr>
        <w:t>≤30</w:t>
      </w:r>
      <w:r>
        <w:rPr>
          <w:rFonts w:hint="eastAsia" w:ascii="Arial" w:hAnsi="Arial" w:cs="Arial"/>
          <w:color w:val="auto"/>
          <w:kern w:val="0"/>
          <w:sz w:val="24"/>
          <w:szCs w:val="24"/>
          <w:highlight w:val="none"/>
          <w:lang w:eastAsia="zh-CN"/>
        </w:rPr>
        <w:t>分钟。</w:t>
      </w:r>
    </w:p>
    <w:p w14:paraId="2C447BB3">
      <w:pPr>
        <w:widowControl/>
        <w:spacing w:beforeLines="0" w:afterLines="0" w:line="360" w:lineRule="auto"/>
        <w:ind w:firstLine="480" w:firstLineChars="200"/>
        <w:jc w:val="left"/>
        <w:rPr>
          <w:rFonts w:hint="default" w:ascii="Arial" w:cs="宋体"/>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6.7  </w:t>
      </w:r>
      <w:r>
        <w:rPr>
          <w:rFonts w:hint="eastAsia" w:ascii="Arial" w:hAnsi="Arial" w:cs="Arial"/>
          <w:color w:val="auto"/>
          <w:kern w:val="0"/>
          <w:sz w:val="24"/>
          <w:szCs w:val="24"/>
          <w:highlight w:val="none"/>
          <w:lang w:eastAsia="zh-CN"/>
        </w:rPr>
        <w:t>预验收</w:t>
      </w:r>
      <w:r>
        <w:rPr>
          <w:rFonts w:hint="eastAsia" w:ascii="Arial" w:cs="宋体"/>
          <w:color w:val="auto"/>
          <w:kern w:val="0"/>
          <w:sz w:val="24"/>
          <w:szCs w:val="24"/>
          <w:highlight w:val="none"/>
          <w:lang w:eastAsia="zh-CN"/>
        </w:rPr>
        <w:t>加工程序由机床供应商在预验收前输入机床系统内；</w:t>
      </w:r>
    </w:p>
    <w:p w14:paraId="4566521E">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cs="Arial"/>
          <w:color w:val="auto"/>
          <w:kern w:val="0"/>
          <w:sz w:val="24"/>
          <w:szCs w:val="24"/>
          <w:highlight w:val="none"/>
          <w:lang w:eastAsia="zh-CN"/>
        </w:rPr>
        <w:t xml:space="preserve">6.8  </w:t>
      </w:r>
      <w:r>
        <w:rPr>
          <w:rFonts w:hint="eastAsia" w:ascii="Arial" w:cs="Arial"/>
          <w:color w:val="auto"/>
          <w:kern w:val="0"/>
          <w:sz w:val="24"/>
          <w:szCs w:val="24"/>
          <w:highlight w:val="none"/>
          <w:lang w:eastAsia="zh-CN"/>
        </w:rPr>
        <w:t>设备由上下料装置、测试模块、校正模块、脉冲分析功能等组成，并且配有清油系统、</w:t>
      </w:r>
      <w:r>
        <w:rPr>
          <w:rFonts w:hint="eastAsia" w:ascii="Arial" w:cs="宋体"/>
          <w:color w:val="auto"/>
          <w:kern w:val="0"/>
          <w:sz w:val="24"/>
          <w:szCs w:val="24"/>
          <w:highlight w:val="none"/>
          <w:lang w:eastAsia="zh-CN"/>
        </w:rPr>
        <w:t>吸屑系</w:t>
      </w:r>
      <w:r>
        <w:rPr>
          <w:rFonts w:hint="eastAsia" w:ascii="Arial" w:cs="Arial"/>
          <w:color w:val="auto"/>
          <w:kern w:val="0"/>
          <w:sz w:val="24"/>
          <w:szCs w:val="24"/>
          <w:highlight w:val="none"/>
          <w:lang w:eastAsia="zh-CN"/>
        </w:rPr>
        <w:t>统、空气供应系统、液压系统等辅助功能单元；</w:t>
      </w:r>
    </w:p>
    <w:p w14:paraId="2A4BE363">
      <w:pPr>
        <w:widowControl w:val="0"/>
        <w:autoSpaceDE w:val="0"/>
        <w:autoSpaceDN w:val="0"/>
        <w:adjustRightInd w:val="0"/>
        <w:snapToGrid w:val="0"/>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cs="Arial"/>
          <w:color w:val="auto"/>
          <w:kern w:val="0"/>
          <w:sz w:val="24"/>
          <w:szCs w:val="24"/>
          <w:highlight w:val="none"/>
          <w:lang w:eastAsia="zh-CN"/>
        </w:rPr>
        <w:t xml:space="preserve">6.9 </w:t>
      </w:r>
      <w:r>
        <w:rPr>
          <w:rFonts w:hint="eastAsia" w:ascii="Arial" w:cs="Arial"/>
          <w:color w:val="auto"/>
          <w:kern w:val="0"/>
          <w:sz w:val="24"/>
          <w:szCs w:val="24"/>
          <w:highlight w:val="none"/>
          <w:lang w:eastAsia="zh-CN"/>
        </w:rPr>
        <w:t>噪声排放需控制在</w:t>
      </w:r>
      <w:r>
        <w:rPr>
          <w:rFonts w:hint="default" w:ascii="Arial" w:cs="Arial"/>
          <w:color w:val="auto"/>
          <w:kern w:val="0"/>
          <w:sz w:val="24"/>
          <w:szCs w:val="24"/>
          <w:highlight w:val="none"/>
          <w:lang w:eastAsia="zh-CN"/>
        </w:rPr>
        <w:t>75</w:t>
      </w:r>
      <w:r>
        <w:rPr>
          <w:rFonts w:hint="eastAsia" w:ascii="Arial" w:cs="Arial"/>
          <w:color w:val="auto"/>
          <w:kern w:val="0"/>
          <w:sz w:val="24"/>
          <w:szCs w:val="24"/>
          <w:highlight w:val="none"/>
          <w:lang w:eastAsia="zh-CN"/>
        </w:rPr>
        <w:t>分贝以下。</w:t>
      </w:r>
    </w:p>
    <w:p w14:paraId="1D0A6BC5">
      <w:pPr>
        <w:widowControl/>
        <w:spacing w:beforeLines="0" w:afterLines="0" w:line="360" w:lineRule="auto"/>
        <w:jc w:val="left"/>
        <w:rPr>
          <w:rFonts w:hint="default" w:ascii="Arial" w:cs="Arial"/>
          <w:color w:val="auto"/>
          <w:kern w:val="0"/>
          <w:sz w:val="24"/>
          <w:szCs w:val="24"/>
          <w:highlight w:val="none"/>
          <w:lang w:eastAsia="zh-CN"/>
        </w:rPr>
      </w:pPr>
      <w:r>
        <w:rPr>
          <w:rFonts w:hint="default" w:ascii="Arial" w:hAnsi="宋体" w:cs="Arial"/>
          <w:b/>
          <w:color w:val="auto"/>
          <w:kern w:val="0"/>
          <w:sz w:val="24"/>
          <w:szCs w:val="24"/>
          <w:highlight w:val="none"/>
          <w:lang w:eastAsia="zh-CN"/>
        </w:rPr>
        <w:t>7</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设备要求及主要规格参数：</w:t>
      </w:r>
    </w:p>
    <w:p w14:paraId="5C89BB9A">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7.1</w:t>
      </w:r>
      <w:r>
        <w:rPr>
          <w:rFonts w:hint="eastAsia" w:ascii="Arial" w:hAnsi="宋体" w:cs="宋体"/>
          <w:color w:val="auto"/>
          <w:kern w:val="0"/>
          <w:sz w:val="24"/>
          <w:szCs w:val="24"/>
          <w:highlight w:val="none"/>
          <w:lang w:eastAsia="zh-CN"/>
        </w:rPr>
        <w:t>电气、控制系统设计制造符合</w:t>
      </w:r>
      <w:r>
        <w:rPr>
          <w:rFonts w:hint="default" w:ascii="Arial" w:hAnsi="Arial" w:cs="Arial"/>
          <w:color w:val="auto"/>
          <w:kern w:val="0"/>
          <w:sz w:val="24"/>
          <w:szCs w:val="24"/>
          <w:highlight w:val="none"/>
          <w:lang w:eastAsia="zh-CN"/>
        </w:rPr>
        <w:t>IEC</w:t>
      </w:r>
      <w:r>
        <w:rPr>
          <w:rFonts w:hint="eastAsia" w:ascii="Arial" w:hAnsi="宋体" w:cs="宋体"/>
          <w:color w:val="auto"/>
          <w:kern w:val="0"/>
          <w:sz w:val="24"/>
          <w:szCs w:val="24"/>
          <w:highlight w:val="none"/>
          <w:lang w:eastAsia="zh-CN"/>
        </w:rPr>
        <w:t>标准</w:t>
      </w:r>
      <w:r>
        <w:rPr>
          <w:rFonts w:hint="eastAsia" w:ascii="Arial" w:hAnsi="Arial" w:cs="Arial"/>
          <w:color w:val="auto"/>
          <w:kern w:val="0"/>
          <w:sz w:val="24"/>
          <w:szCs w:val="24"/>
          <w:highlight w:val="none"/>
          <w:lang w:eastAsia="zh-CN"/>
        </w:rPr>
        <w:t>，机床运行应符合中国或国际相应环保标准。</w:t>
      </w:r>
    </w:p>
    <w:p w14:paraId="64BA2D64">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7.2 </w:t>
      </w:r>
      <w:r>
        <w:rPr>
          <w:rFonts w:hint="eastAsia" w:ascii="Arial" w:hAnsi="宋体" w:cs="宋体"/>
          <w:color w:val="auto"/>
          <w:kern w:val="0"/>
          <w:sz w:val="24"/>
          <w:szCs w:val="24"/>
          <w:highlight w:val="none"/>
          <w:lang w:eastAsia="zh-CN"/>
        </w:rPr>
        <w:t>机床所有零、部件和各种仪表的计量单位应全部采用</w:t>
      </w:r>
      <w:r>
        <w:rPr>
          <w:rFonts w:hint="default" w:ascii="Arial" w:hAnsi="宋体" w:cs="Arial"/>
          <w:color w:val="auto"/>
          <w:kern w:val="0"/>
          <w:sz w:val="24"/>
          <w:szCs w:val="24"/>
          <w:highlight w:val="none"/>
          <w:lang w:eastAsia="zh-CN"/>
        </w:rPr>
        <w:t>SI</w:t>
      </w:r>
      <w:r>
        <w:rPr>
          <w:rFonts w:hint="eastAsia" w:ascii="Arial" w:hAnsi="宋体" w:cs="宋体"/>
          <w:color w:val="auto"/>
          <w:kern w:val="0"/>
          <w:sz w:val="24"/>
          <w:szCs w:val="24"/>
          <w:highlight w:val="none"/>
          <w:lang w:eastAsia="zh-CN"/>
        </w:rPr>
        <w:t>国际单位标准。</w:t>
      </w:r>
    </w:p>
    <w:p w14:paraId="244E33E2">
      <w:pPr>
        <w:widowControl/>
        <w:spacing w:beforeLines="0" w:afterLines="0" w:line="360" w:lineRule="auto"/>
        <w:ind w:firstLine="480" w:firstLineChars="200"/>
        <w:jc w:val="left"/>
        <w:rPr>
          <w:rFonts w:hint="default" w:ascii="Arial" w:hAnsi="宋体" w:cs="宋体"/>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7.3 </w:t>
      </w:r>
      <w:r>
        <w:rPr>
          <w:rFonts w:hint="eastAsia" w:ascii="Arial" w:hAnsi="宋体" w:cs="宋体"/>
          <w:color w:val="auto"/>
          <w:kern w:val="0"/>
          <w:sz w:val="24"/>
          <w:szCs w:val="24"/>
          <w:highlight w:val="none"/>
          <w:lang w:eastAsia="zh-CN"/>
        </w:rPr>
        <w:t>机床主要规格参数：</w:t>
      </w:r>
    </w:p>
    <w:p w14:paraId="7A6392B0">
      <w:pPr>
        <w:widowControl/>
        <w:spacing w:beforeLines="0" w:afterLines="0" w:line="360" w:lineRule="auto"/>
        <w:ind w:firstLine="480" w:firstLineChars="200"/>
        <w:jc w:val="left"/>
        <w:rPr>
          <w:rFonts w:hint="default" w:ascii="Arial" w:hAnsi="宋体" w:cs="宋体"/>
          <w:color w:val="auto"/>
          <w:kern w:val="0"/>
          <w:sz w:val="24"/>
          <w:szCs w:val="24"/>
          <w:highlight w:val="none"/>
          <w:lang w:eastAsia="zh-CN"/>
        </w:rPr>
      </w:pPr>
      <w:r>
        <w:rPr>
          <w:rFonts w:hint="default" w:ascii="Arial" w:hAnsi="Arial" w:cs="Arial"/>
          <w:color w:val="auto"/>
          <w:kern w:val="0"/>
          <w:sz w:val="24"/>
          <w:szCs w:val="24"/>
          <w:highlight w:val="none"/>
          <w:lang w:eastAsia="zh-CN"/>
        </w:rPr>
        <w:t>7.3.1</w:t>
      </w:r>
      <w:r>
        <w:rPr>
          <w:rFonts w:hint="eastAsia" w:ascii="Arial" w:hAnsi="宋体" w:cs="宋体"/>
          <w:color w:val="auto"/>
          <w:kern w:val="0"/>
          <w:sz w:val="24"/>
          <w:szCs w:val="24"/>
          <w:highlight w:val="none"/>
          <w:lang w:eastAsia="zh-CN"/>
        </w:rPr>
        <w:t>设备主体长宽高尺寸不大于</w:t>
      </w:r>
      <w:r>
        <w:rPr>
          <w:rFonts w:hint="default" w:ascii="Arial" w:hAnsi="宋体" w:cs="宋体"/>
          <w:color w:val="auto"/>
          <w:kern w:val="0"/>
          <w:sz w:val="24"/>
          <w:szCs w:val="24"/>
          <w:highlight w:val="none"/>
          <w:lang w:eastAsia="zh-CN"/>
        </w:rPr>
        <w:t>3000mm*3000mm*3000mm</w:t>
      </w:r>
    </w:p>
    <w:p w14:paraId="164A2F31">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宋体" w:cs="宋体"/>
          <w:color w:val="auto"/>
          <w:kern w:val="0"/>
          <w:sz w:val="24"/>
          <w:szCs w:val="24"/>
          <w:highlight w:val="none"/>
          <w:lang w:eastAsia="zh-CN"/>
        </w:rPr>
        <w:t>7.3.2</w:t>
      </w:r>
      <w:r>
        <w:rPr>
          <w:rFonts w:hint="eastAsia" w:ascii="Arial" w:hAnsi="宋体" w:cs="宋体"/>
          <w:color w:val="auto"/>
          <w:kern w:val="0"/>
          <w:sz w:val="24"/>
          <w:szCs w:val="24"/>
          <w:highlight w:val="none"/>
          <w:lang w:eastAsia="zh-CN"/>
        </w:rPr>
        <w:t>可以平衡的涡轮增压器规格：最大重量不小于</w:t>
      </w:r>
      <w:r>
        <w:rPr>
          <w:rFonts w:hint="default" w:ascii="Arial" w:hAnsi="宋体" w:cs="宋体"/>
          <w:color w:val="auto"/>
          <w:kern w:val="0"/>
          <w:sz w:val="24"/>
          <w:szCs w:val="24"/>
          <w:highlight w:val="none"/>
          <w:lang w:eastAsia="zh-CN"/>
        </w:rPr>
        <w:t>4Kg</w:t>
      </w:r>
      <w:r>
        <w:rPr>
          <w:rFonts w:hint="eastAsia" w:ascii="Arial" w:hAnsi="宋体" w:cs="宋体"/>
          <w:color w:val="auto"/>
          <w:kern w:val="0"/>
          <w:sz w:val="24"/>
          <w:szCs w:val="24"/>
          <w:highlight w:val="none"/>
          <w:lang w:eastAsia="zh-CN"/>
        </w:rPr>
        <w:t>；最大涡轮直</w:t>
      </w:r>
      <w:r>
        <w:rPr>
          <w:rFonts w:hint="eastAsia" w:ascii="Arial" w:hAnsi="Arial" w:cs="Arial"/>
          <w:color w:val="auto"/>
          <w:kern w:val="0"/>
          <w:sz w:val="24"/>
          <w:szCs w:val="24"/>
          <w:highlight w:val="none"/>
          <w:lang w:eastAsia="zh-CN"/>
        </w:rPr>
        <w:t>径不小于</w:t>
      </w:r>
      <w:r>
        <w:rPr>
          <w:rFonts w:hint="default" w:ascii="Arial" w:hAnsi="Arial" w:cs="Arial"/>
          <w:color w:val="auto"/>
          <w:kern w:val="0"/>
          <w:sz w:val="24"/>
          <w:szCs w:val="24"/>
          <w:highlight w:val="none"/>
          <w:lang w:eastAsia="zh-CN"/>
        </w:rPr>
        <w:t>60mm</w:t>
      </w:r>
      <w:r>
        <w:rPr>
          <w:rFonts w:hint="eastAsia" w:ascii="Arial" w:hAnsi="Arial" w:cs="Arial"/>
          <w:color w:val="auto"/>
          <w:kern w:val="0"/>
          <w:sz w:val="24"/>
          <w:szCs w:val="24"/>
          <w:highlight w:val="none"/>
          <w:lang w:eastAsia="zh-CN"/>
        </w:rPr>
        <w:t>；最大叶轮直径不小于</w:t>
      </w:r>
      <w:r>
        <w:rPr>
          <w:rFonts w:hint="default" w:ascii="Arial" w:hAnsi="Arial" w:cs="Arial"/>
          <w:color w:val="auto"/>
          <w:kern w:val="0"/>
          <w:sz w:val="24"/>
          <w:szCs w:val="24"/>
          <w:highlight w:val="none"/>
          <w:lang w:eastAsia="zh-CN"/>
        </w:rPr>
        <w:t>60mm</w:t>
      </w:r>
      <w:r>
        <w:rPr>
          <w:rFonts w:hint="eastAsia" w:ascii="Arial" w:hAnsi="Arial" w:cs="Arial"/>
          <w:color w:val="auto"/>
          <w:kern w:val="0"/>
          <w:sz w:val="24"/>
          <w:szCs w:val="24"/>
          <w:highlight w:val="none"/>
          <w:lang w:eastAsia="zh-CN"/>
        </w:rPr>
        <w:t>；最大涡轮端法兰直径不小于</w:t>
      </w:r>
      <w:r>
        <w:rPr>
          <w:rFonts w:hint="default" w:ascii="Arial" w:hAnsi="Arial" w:cs="Arial"/>
          <w:color w:val="auto"/>
          <w:kern w:val="0"/>
          <w:sz w:val="24"/>
          <w:szCs w:val="24"/>
          <w:highlight w:val="none"/>
          <w:lang w:eastAsia="zh-CN"/>
        </w:rPr>
        <w:t>150mm</w:t>
      </w:r>
      <w:r>
        <w:rPr>
          <w:rFonts w:hint="eastAsia" w:ascii="Arial" w:hAnsi="Arial" w:cs="Arial"/>
          <w:color w:val="auto"/>
          <w:kern w:val="0"/>
          <w:sz w:val="24"/>
          <w:szCs w:val="24"/>
          <w:highlight w:val="none"/>
          <w:lang w:eastAsia="zh-CN"/>
        </w:rPr>
        <w:t>；最大叶轮端法兰直径不小于</w:t>
      </w:r>
      <w:r>
        <w:rPr>
          <w:rFonts w:hint="default" w:ascii="Arial" w:hAnsi="Arial" w:cs="Arial"/>
          <w:color w:val="auto"/>
          <w:kern w:val="0"/>
          <w:sz w:val="24"/>
          <w:szCs w:val="24"/>
          <w:highlight w:val="none"/>
          <w:lang w:eastAsia="zh-CN"/>
        </w:rPr>
        <w:t>150mm</w:t>
      </w:r>
      <w:r>
        <w:rPr>
          <w:rFonts w:hint="eastAsia" w:ascii="Arial" w:hAnsi="Arial" w:cs="Arial"/>
          <w:color w:val="auto"/>
          <w:kern w:val="0"/>
          <w:sz w:val="24"/>
          <w:szCs w:val="24"/>
          <w:highlight w:val="none"/>
          <w:lang w:eastAsia="zh-CN"/>
        </w:rPr>
        <w:t>；涡轮头到轴端螺母长度不小于</w:t>
      </w:r>
      <w:r>
        <w:rPr>
          <w:rFonts w:hint="default" w:ascii="Arial" w:hAnsi="Arial" w:cs="Arial"/>
          <w:color w:val="auto"/>
          <w:kern w:val="0"/>
          <w:sz w:val="24"/>
          <w:szCs w:val="24"/>
          <w:highlight w:val="none"/>
          <w:lang w:eastAsia="zh-CN"/>
        </w:rPr>
        <w:t>140mm</w:t>
      </w:r>
      <w:r>
        <w:rPr>
          <w:rFonts w:hint="eastAsia" w:ascii="Arial" w:hAnsi="Arial" w:cs="Arial"/>
          <w:color w:val="auto"/>
          <w:kern w:val="0"/>
          <w:sz w:val="24"/>
          <w:szCs w:val="24"/>
          <w:highlight w:val="none"/>
          <w:lang w:eastAsia="zh-CN"/>
        </w:rPr>
        <w:t>；</w:t>
      </w:r>
    </w:p>
    <w:p w14:paraId="3510419B">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7.3.3 </w:t>
      </w:r>
      <w:r>
        <w:rPr>
          <w:rFonts w:hint="eastAsia" w:ascii="Arial" w:hAnsi="Arial" w:cs="Arial"/>
          <w:color w:val="auto"/>
          <w:kern w:val="0"/>
          <w:sz w:val="24"/>
          <w:szCs w:val="24"/>
          <w:highlight w:val="none"/>
          <w:lang w:eastAsia="zh-CN"/>
        </w:rPr>
        <w:t>最大转速不小于</w:t>
      </w:r>
      <w:r>
        <w:rPr>
          <w:rFonts w:hint="default" w:ascii="Arial" w:hAnsi="Arial" w:cs="Arial"/>
          <w:color w:val="auto"/>
          <w:kern w:val="0"/>
          <w:sz w:val="24"/>
          <w:szCs w:val="24"/>
          <w:highlight w:val="none"/>
          <w:lang w:eastAsia="zh-CN"/>
        </w:rPr>
        <w:t>25</w:t>
      </w:r>
      <w:r>
        <w:rPr>
          <w:rFonts w:hint="default" w:ascii="Arial" w:cs="Arial"/>
          <w:color w:val="auto"/>
          <w:kern w:val="0"/>
          <w:sz w:val="24"/>
          <w:szCs w:val="24"/>
          <w:highlight w:val="none"/>
          <w:lang w:eastAsia="zh-CN"/>
        </w:rPr>
        <w:t>0</w:t>
      </w:r>
      <w:r>
        <w:rPr>
          <w:rFonts w:hint="default" w:ascii="Arial" w:hAnsi="Arial" w:cs="Arial"/>
          <w:color w:val="auto"/>
          <w:kern w:val="0"/>
          <w:sz w:val="24"/>
          <w:szCs w:val="24"/>
          <w:highlight w:val="none"/>
          <w:lang w:eastAsia="zh-CN"/>
        </w:rPr>
        <w:t>000rpm</w:t>
      </w:r>
      <w:r>
        <w:rPr>
          <w:rFonts w:hint="eastAsia" w:ascii="Arial" w:hAnsi="Arial" w:cs="Arial"/>
          <w:color w:val="auto"/>
          <w:kern w:val="0"/>
          <w:sz w:val="24"/>
          <w:szCs w:val="24"/>
          <w:highlight w:val="none"/>
          <w:lang w:eastAsia="zh-CN"/>
        </w:rPr>
        <w:t>；</w:t>
      </w:r>
    </w:p>
    <w:p w14:paraId="211683A6">
      <w:pPr>
        <w:widowControl/>
        <w:spacing w:beforeLines="0" w:afterLines="0" w:line="360" w:lineRule="auto"/>
        <w:ind w:firstLine="480" w:firstLineChars="200"/>
        <w:jc w:val="left"/>
        <w:rPr>
          <w:rFonts w:hint="default" w:ascii="Arial" w:hAnsi="宋体" w:cs="宋体"/>
          <w:color w:val="auto"/>
          <w:kern w:val="0"/>
          <w:sz w:val="24"/>
          <w:szCs w:val="24"/>
          <w:highlight w:val="none"/>
          <w:lang w:eastAsia="zh-CN"/>
        </w:rPr>
      </w:pPr>
      <w:r>
        <w:rPr>
          <w:rFonts w:hint="default" w:ascii="Arial" w:hAnsi="Arial" w:cs="Arial"/>
          <w:color w:val="auto"/>
          <w:kern w:val="0"/>
          <w:sz w:val="24"/>
          <w:szCs w:val="24"/>
          <w:highlight w:val="none"/>
          <w:lang w:eastAsia="zh-CN"/>
        </w:rPr>
        <w:t>7.3.4 RAM</w:t>
      </w:r>
      <w:r>
        <w:rPr>
          <w:rFonts w:hint="eastAsia" w:ascii="Arial" w:hAnsi="Arial" w:cs="Arial"/>
          <w:color w:val="auto"/>
          <w:kern w:val="0"/>
          <w:sz w:val="24"/>
          <w:szCs w:val="24"/>
          <w:highlight w:val="none"/>
          <w:lang w:eastAsia="zh-CN"/>
        </w:rPr>
        <w:t>内存</w:t>
      </w:r>
      <w:r>
        <w:rPr>
          <w:rFonts w:hint="default" w:ascii="Arial" w:hAnsi="Arial" w:cs="Arial"/>
          <w:color w:val="auto"/>
          <w:kern w:val="0"/>
          <w:sz w:val="24"/>
          <w:szCs w:val="24"/>
          <w:highlight w:val="none"/>
          <w:lang w:eastAsia="zh-CN"/>
        </w:rPr>
        <w:t>8G</w:t>
      </w:r>
      <w:r>
        <w:rPr>
          <w:rFonts w:hint="eastAsia" w:ascii="Arial" w:hAnsi="Arial" w:cs="Arial"/>
          <w:color w:val="auto"/>
          <w:kern w:val="0"/>
          <w:sz w:val="24"/>
          <w:szCs w:val="24"/>
          <w:highlight w:val="none"/>
          <w:lang w:eastAsia="zh-CN"/>
        </w:rPr>
        <w:t>及以上，硬盘</w:t>
      </w:r>
      <w:r>
        <w:rPr>
          <w:rFonts w:hint="default" w:ascii="Arial" w:hAnsi="Arial" w:cs="Arial"/>
          <w:color w:val="auto"/>
          <w:kern w:val="0"/>
          <w:sz w:val="24"/>
          <w:szCs w:val="24"/>
          <w:highlight w:val="none"/>
          <w:lang w:eastAsia="zh-CN"/>
        </w:rPr>
        <w:t>1T</w:t>
      </w:r>
      <w:r>
        <w:rPr>
          <w:rFonts w:hint="eastAsia" w:ascii="Arial" w:hAnsi="Arial" w:cs="Arial"/>
          <w:color w:val="auto"/>
          <w:kern w:val="0"/>
          <w:sz w:val="24"/>
          <w:szCs w:val="24"/>
          <w:highlight w:val="none"/>
          <w:lang w:eastAsia="zh-CN"/>
        </w:rPr>
        <w:t>及以上</w:t>
      </w:r>
    </w:p>
    <w:p w14:paraId="53F9E74E">
      <w:pPr>
        <w:widowControl/>
        <w:spacing w:beforeLines="0" w:afterLines="0" w:line="360" w:lineRule="auto"/>
        <w:jc w:val="left"/>
        <w:rPr>
          <w:rFonts w:hint="default" w:ascii="Arial" w:cs="Arial"/>
          <w:color w:val="auto"/>
          <w:kern w:val="0"/>
          <w:sz w:val="24"/>
          <w:szCs w:val="24"/>
          <w:highlight w:val="none"/>
          <w:lang w:eastAsia="zh-CN"/>
        </w:rPr>
      </w:pPr>
      <w:r>
        <w:rPr>
          <w:rFonts w:hint="default" w:ascii="Arial" w:hAnsi="宋体" w:cs="Arial"/>
          <w:b/>
          <w:color w:val="auto"/>
          <w:kern w:val="0"/>
          <w:sz w:val="24"/>
          <w:szCs w:val="24"/>
          <w:highlight w:val="none"/>
          <w:lang w:eastAsia="zh-CN"/>
        </w:rPr>
        <w:t>8</w:t>
      </w:r>
      <w:r>
        <w:rPr>
          <w:rFonts w:hint="eastAsia" w:ascii="Arial" w:hAnsi="宋体" w:cs="宋体"/>
          <w:b/>
          <w:color w:val="auto"/>
          <w:kern w:val="0"/>
          <w:sz w:val="24"/>
          <w:szCs w:val="24"/>
          <w:highlight w:val="none"/>
          <w:lang w:eastAsia="zh-CN"/>
        </w:rPr>
        <w:t>．</w:t>
      </w:r>
      <w:r>
        <w:rPr>
          <w:rFonts w:hint="eastAsia" w:ascii="Arial" w:hAnsi="宋体" w:cs="宋体"/>
          <w:color w:val="auto"/>
          <w:kern w:val="0"/>
          <w:sz w:val="24"/>
          <w:szCs w:val="24"/>
          <w:highlight w:val="none"/>
          <w:lang w:eastAsia="zh-CN"/>
        </w:rPr>
        <w:t>设备工作条件：</w:t>
      </w:r>
    </w:p>
    <w:p w14:paraId="5B3FD46A">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8.1</w:t>
      </w:r>
      <w:r>
        <w:rPr>
          <w:rFonts w:hint="eastAsia" w:ascii="Arial" w:hAnsi="Arial" w:cs="Arial"/>
          <w:color w:val="auto"/>
          <w:kern w:val="0"/>
          <w:sz w:val="24"/>
          <w:szCs w:val="24"/>
          <w:highlight w:val="none"/>
          <w:lang w:eastAsia="zh-CN"/>
        </w:rPr>
        <w:t>电源：</w:t>
      </w:r>
      <w:r>
        <w:rPr>
          <w:rFonts w:hint="default" w:ascii="Arial" w:hAnsi="Arial" w:cs="Arial"/>
          <w:color w:val="auto"/>
          <w:kern w:val="0"/>
          <w:sz w:val="24"/>
          <w:szCs w:val="24"/>
          <w:highlight w:val="none"/>
          <w:lang w:eastAsia="zh-CN"/>
        </w:rPr>
        <w:t xml:space="preserve">380V±10%      50HZ      </w:t>
      </w:r>
      <w:r>
        <w:rPr>
          <w:rFonts w:hint="eastAsia" w:ascii="Arial" w:hAnsi="Arial" w:cs="Arial"/>
          <w:color w:val="auto"/>
          <w:kern w:val="0"/>
          <w:sz w:val="24"/>
          <w:szCs w:val="24"/>
          <w:highlight w:val="none"/>
          <w:lang w:eastAsia="zh-CN"/>
        </w:rPr>
        <w:t>三相交流</w:t>
      </w:r>
    </w:p>
    <w:p w14:paraId="04B0BAA9">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8.2  </w:t>
      </w:r>
      <w:r>
        <w:rPr>
          <w:rFonts w:hint="eastAsia" w:ascii="Arial" w:hAnsi="Arial" w:cs="Arial"/>
          <w:color w:val="auto"/>
          <w:kern w:val="0"/>
          <w:sz w:val="24"/>
          <w:szCs w:val="24"/>
          <w:highlight w:val="none"/>
          <w:lang w:eastAsia="zh-CN"/>
        </w:rPr>
        <w:t>环境温度：使用地环境温度</w:t>
      </w:r>
      <w:r>
        <w:rPr>
          <w:rFonts w:hint="default" w:ascii="Arial" w:hAnsi="Arial" w:cs="Arial"/>
          <w:color w:val="auto"/>
          <w:kern w:val="0"/>
          <w:sz w:val="24"/>
          <w:szCs w:val="24"/>
          <w:highlight w:val="none"/>
          <w:lang w:eastAsia="zh-CN"/>
        </w:rPr>
        <w:t xml:space="preserve"> -10</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C</w:t>
      </w:r>
      <w:r>
        <w:rPr>
          <w:rFonts w:hint="eastAsia" w:ascii="Arial" w:hAnsi="Arial" w:cs="Arial"/>
          <w:color w:val="auto"/>
          <w:kern w:val="0"/>
          <w:sz w:val="24"/>
          <w:szCs w:val="24"/>
          <w:highlight w:val="none"/>
          <w:lang w:eastAsia="zh-CN"/>
        </w:rPr>
        <w:t>至</w:t>
      </w:r>
      <w:r>
        <w:rPr>
          <w:rFonts w:hint="default" w:ascii="Arial" w:hAnsi="Arial" w:cs="Arial"/>
          <w:color w:val="auto"/>
          <w:kern w:val="0"/>
          <w:sz w:val="24"/>
          <w:szCs w:val="24"/>
          <w:highlight w:val="none"/>
          <w:lang w:eastAsia="zh-CN"/>
        </w:rPr>
        <w:t>40</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C</w:t>
      </w:r>
    </w:p>
    <w:p w14:paraId="1F2771B5">
      <w:pPr>
        <w:widowControl/>
        <w:spacing w:beforeLines="0" w:afterLines="0" w:line="360" w:lineRule="auto"/>
        <w:ind w:firstLine="480" w:firstLineChars="200"/>
        <w:jc w:val="left"/>
        <w:rPr>
          <w:rFonts w:hint="default" w:ascii="Arial" w:hAns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8.3 </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 xml:space="preserve">40 </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C</w:t>
      </w:r>
      <w:r>
        <w:rPr>
          <w:rFonts w:hint="eastAsia" w:ascii="Arial" w:hAnsi="Arial" w:cs="Arial"/>
          <w:color w:val="auto"/>
          <w:kern w:val="0"/>
          <w:sz w:val="24"/>
          <w:szCs w:val="24"/>
          <w:highlight w:val="none"/>
          <w:lang w:eastAsia="zh-CN"/>
        </w:rPr>
        <w:t>时）最大相对空气湿度</w:t>
      </w:r>
      <w:r>
        <w:rPr>
          <w:rFonts w:hint="default" w:ascii="Arial" w:hAnsi="Arial" w:cs="Arial"/>
          <w:color w:val="auto"/>
          <w:kern w:val="0"/>
          <w:sz w:val="24"/>
          <w:szCs w:val="24"/>
          <w:highlight w:val="none"/>
          <w:lang w:eastAsia="zh-CN"/>
        </w:rPr>
        <w:t xml:space="preserve"> 50%</w:t>
      </w:r>
    </w:p>
    <w:p w14:paraId="76AAEB26">
      <w:pPr>
        <w:widowControl/>
        <w:spacing w:beforeLines="0" w:afterLines="0" w:line="360" w:lineRule="auto"/>
        <w:ind w:firstLine="480" w:firstLineChars="200"/>
        <w:jc w:val="left"/>
        <w:rPr>
          <w:rFonts w:hint="default" w:ascii="Arial" w:cs="Arial"/>
          <w:color w:val="auto"/>
          <w:kern w:val="0"/>
          <w:sz w:val="24"/>
          <w:szCs w:val="24"/>
          <w:highlight w:val="none"/>
          <w:u w:val="single"/>
          <w:lang w:eastAsia="zh-CN"/>
        </w:rPr>
      </w:pPr>
      <w:r>
        <w:rPr>
          <w:rFonts w:hint="default" w:ascii="Arial" w:hAnsi="Arial" w:cs="Arial"/>
          <w:color w:val="auto"/>
          <w:kern w:val="0"/>
          <w:sz w:val="24"/>
          <w:szCs w:val="24"/>
          <w:highlight w:val="none"/>
          <w:lang w:eastAsia="zh-CN"/>
        </w:rPr>
        <w:t xml:space="preserve">8.4 </w:t>
      </w:r>
      <w:r>
        <w:rPr>
          <w:rFonts w:hint="eastAsia" w:ascii="Arial" w:hAnsi="Arial" w:cs="Arial"/>
          <w:color w:val="auto"/>
          <w:kern w:val="0"/>
          <w:sz w:val="24"/>
          <w:szCs w:val="24"/>
          <w:highlight w:val="none"/>
          <w:lang w:eastAsia="zh-CN"/>
        </w:rPr>
        <w:t>压缩空气源：</w:t>
      </w:r>
      <w:r>
        <w:rPr>
          <w:rFonts w:hint="default" w:ascii="Arial" w:hAnsi="Arial" w:cs="Arial"/>
          <w:color w:val="auto"/>
          <w:kern w:val="0"/>
          <w:sz w:val="24"/>
          <w:szCs w:val="24"/>
          <w:highlight w:val="none"/>
          <w:lang w:eastAsia="zh-CN"/>
        </w:rPr>
        <w:t>0.6 -- 0.8 MPa</w:t>
      </w:r>
    </w:p>
    <w:p w14:paraId="668E7D94">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8.5 </w:t>
      </w:r>
      <w:r>
        <w:rPr>
          <w:rFonts w:hint="eastAsia" w:ascii="Arial" w:hAnsi="Arial" w:cs="Arial"/>
          <w:color w:val="auto"/>
          <w:kern w:val="0"/>
          <w:sz w:val="24"/>
          <w:szCs w:val="24"/>
          <w:highlight w:val="none"/>
          <w:lang w:eastAsia="zh-CN"/>
        </w:rPr>
        <w:t>工作噪声：符合中国国家标准</w:t>
      </w:r>
    </w:p>
    <w:p w14:paraId="5E677887">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8.6</w:t>
      </w:r>
      <w:r>
        <w:rPr>
          <w:rFonts w:hint="eastAsia" w:ascii="Arial" w:hAnsi="宋体" w:cs="宋体"/>
          <w:color w:val="auto"/>
          <w:kern w:val="0"/>
          <w:sz w:val="24"/>
          <w:szCs w:val="24"/>
          <w:highlight w:val="none"/>
          <w:lang w:eastAsia="zh-CN"/>
        </w:rPr>
        <w:t>要求机床在上述工作环境下能长期稳定工作。</w:t>
      </w:r>
    </w:p>
    <w:p w14:paraId="2B765437">
      <w:pPr>
        <w:widowControl/>
        <w:spacing w:beforeLines="0" w:afterLines="0" w:line="360" w:lineRule="auto"/>
        <w:jc w:val="left"/>
        <w:rPr>
          <w:rFonts w:hint="default" w:ascii="Arial" w:cs="Arial"/>
          <w:b/>
          <w:bCs w:val="0"/>
          <w:color w:val="auto"/>
          <w:kern w:val="0"/>
          <w:sz w:val="24"/>
          <w:szCs w:val="24"/>
          <w:highlight w:val="none"/>
          <w:lang w:eastAsia="zh-CN"/>
        </w:rPr>
      </w:pPr>
      <w:r>
        <w:rPr>
          <w:rFonts w:hint="default" w:ascii="Arial" w:hAnsi="宋体" w:cs="Arial"/>
          <w:b/>
          <w:bCs w:val="0"/>
          <w:color w:val="auto"/>
          <w:kern w:val="0"/>
          <w:sz w:val="24"/>
          <w:szCs w:val="24"/>
          <w:highlight w:val="none"/>
          <w:lang w:eastAsia="zh-CN"/>
        </w:rPr>
        <w:t>9</w:t>
      </w:r>
      <w:r>
        <w:rPr>
          <w:rFonts w:hint="eastAsia" w:ascii="Arial" w:hAnsi="宋体" w:cs="宋体"/>
          <w:b/>
          <w:bCs w:val="0"/>
          <w:color w:val="auto"/>
          <w:kern w:val="0"/>
          <w:sz w:val="24"/>
          <w:szCs w:val="24"/>
          <w:highlight w:val="none"/>
          <w:lang w:eastAsia="zh-CN"/>
        </w:rPr>
        <w:t>．列出下列各项清单，单独报价，并记入投标总价：</w:t>
      </w:r>
    </w:p>
    <w:p w14:paraId="4C72CB05">
      <w:pPr>
        <w:widowControl/>
        <w:spacing w:beforeLines="0" w:afterLines="0" w:line="360" w:lineRule="auto"/>
        <w:ind w:firstLine="482" w:firstLineChars="200"/>
        <w:jc w:val="left"/>
        <w:rPr>
          <w:rFonts w:hint="default" w:ascii="Arial" w:cs="Arial"/>
          <w:b/>
          <w:bCs w:val="0"/>
          <w:color w:val="auto"/>
          <w:kern w:val="0"/>
          <w:sz w:val="24"/>
          <w:szCs w:val="24"/>
          <w:highlight w:val="none"/>
          <w:lang w:eastAsia="zh-CN"/>
        </w:rPr>
      </w:pPr>
      <w:r>
        <w:rPr>
          <w:rFonts w:hint="default" w:ascii="Arial" w:hAnsi="Arial" w:cs="Arial"/>
          <w:b/>
          <w:bCs w:val="0"/>
          <w:color w:val="auto"/>
          <w:kern w:val="0"/>
          <w:sz w:val="24"/>
          <w:szCs w:val="24"/>
          <w:highlight w:val="none"/>
          <w:lang w:eastAsia="zh-CN"/>
        </w:rPr>
        <w:t>9.1.1</w:t>
      </w:r>
      <w:r>
        <w:rPr>
          <w:rFonts w:hint="eastAsia" w:ascii="Arial" w:hAnsi="宋体" w:cs="宋体"/>
          <w:b/>
          <w:bCs w:val="0"/>
          <w:color w:val="auto"/>
          <w:kern w:val="0"/>
          <w:sz w:val="24"/>
          <w:szCs w:val="24"/>
          <w:highlight w:val="none"/>
          <w:lang w:eastAsia="zh-CN"/>
        </w:rPr>
        <w:t>提供机床标准配置、</w:t>
      </w:r>
      <w:r>
        <w:rPr>
          <w:rFonts w:hint="eastAsia" w:ascii="Arial" w:hAnsi="Arial" w:cs="Arial"/>
          <w:b/>
          <w:bCs w:val="0"/>
          <w:color w:val="auto"/>
          <w:kern w:val="0"/>
          <w:sz w:val="24"/>
          <w:szCs w:val="24"/>
          <w:highlight w:val="none"/>
          <w:lang w:eastAsia="zh-CN"/>
        </w:rPr>
        <w:t>随机标准附件及易损件</w:t>
      </w:r>
    </w:p>
    <w:p w14:paraId="2F4A17E6">
      <w:pPr>
        <w:widowControl/>
        <w:spacing w:beforeLines="0" w:afterLines="0" w:line="360" w:lineRule="auto"/>
        <w:ind w:firstLine="482" w:firstLineChars="200"/>
        <w:jc w:val="left"/>
        <w:rPr>
          <w:rFonts w:hint="default" w:ascii="Arial" w:cs="Arial"/>
          <w:b/>
          <w:bCs w:val="0"/>
          <w:color w:val="auto"/>
          <w:kern w:val="0"/>
          <w:sz w:val="24"/>
          <w:szCs w:val="24"/>
          <w:highlight w:val="none"/>
          <w:lang w:eastAsia="zh-CN"/>
        </w:rPr>
      </w:pPr>
      <w:r>
        <w:rPr>
          <w:rFonts w:hint="default" w:ascii="Arial" w:hAnsi="Arial" w:cs="Arial"/>
          <w:b/>
          <w:bCs w:val="0"/>
          <w:color w:val="auto"/>
          <w:kern w:val="0"/>
          <w:sz w:val="24"/>
          <w:szCs w:val="24"/>
          <w:highlight w:val="none"/>
          <w:lang w:eastAsia="zh-CN"/>
        </w:rPr>
        <w:t>9.1.2</w:t>
      </w:r>
      <w:r>
        <w:rPr>
          <w:rFonts w:hint="eastAsia" w:ascii="Arial" w:hAnsi="Arial" w:cs="Arial"/>
          <w:b/>
          <w:bCs w:val="0"/>
          <w:color w:val="auto"/>
          <w:kern w:val="0"/>
          <w:sz w:val="24"/>
          <w:szCs w:val="24"/>
          <w:highlight w:val="none"/>
          <w:lang w:eastAsia="zh-CN"/>
        </w:rPr>
        <w:t>提供机床验收后运行</w:t>
      </w:r>
      <w:r>
        <w:rPr>
          <w:rFonts w:hint="default" w:ascii="Arial" w:hAnsi="Arial" w:cs="Arial"/>
          <w:b/>
          <w:bCs w:val="0"/>
          <w:color w:val="auto"/>
          <w:kern w:val="0"/>
          <w:sz w:val="24"/>
          <w:szCs w:val="24"/>
          <w:highlight w:val="none"/>
          <w:lang w:eastAsia="zh-CN"/>
        </w:rPr>
        <w:t>1</w:t>
      </w:r>
      <w:r>
        <w:rPr>
          <w:rFonts w:hint="eastAsia" w:ascii="Arial" w:hAnsi="Arial" w:cs="Arial"/>
          <w:b/>
          <w:bCs w:val="0"/>
          <w:color w:val="auto"/>
          <w:kern w:val="0"/>
          <w:sz w:val="24"/>
          <w:szCs w:val="24"/>
          <w:highlight w:val="none"/>
          <w:lang w:eastAsia="zh-CN"/>
        </w:rPr>
        <w:t>年所必需的备品备件、夹具</w:t>
      </w:r>
    </w:p>
    <w:p w14:paraId="69870DBA">
      <w:pPr>
        <w:widowControl/>
        <w:spacing w:beforeLines="0" w:afterLines="0" w:line="360" w:lineRule="auto"/>
        <w:ind w:firstLine="482" w:firstLineChars="200"/>
        <w:jc w:val="left"/>
        <w:rPr>
          <w:rFonts w:hint="default" w:ascii="Arial" w:cs="Arial"/>
          <w:b/>
          <w:bCs w:val="0"/>
          <w:color w:val="auto"/>
          <w:kern w:val="0"/>
          <w:sz w:val="24"/>
          <w:szCs w:val="24"/>
          <w:highlight w:val="none"/>
          <w:lang w:eastAsia="zh-CN"/>
        </w:rPr>
      </w:pPr>
      <w:r>
        <w:rPr>
          <w:rFonts w:hint="default" w:ascii="Arial" w:hAnsi="Arial" w:cs="Arial"/>
          <w:b/>
          <w:bCs w:val="0"/>
          <w:color w:val="auto"/>
          <w:kern w:val="0"/>
          <w:sz w:val="24"/>
          <w:szCs w:val="24"/>
          <w:highlight w:val="none"/>
          <w:lang w:eastAsia="zh-CN"/>
        </w:rPr>
        <w:t>9.1.3</w:t>
      </w:r>
      <w:r>
        <w:rPr>
          <w:rFonts w:hint="eastAsia" w:ascii="Arial" w:hAnsi="Arial" w:cs="Arial"/>
          <w:b/>
          <w:bCs w:val="0"/>
          <w:color w:val="auto"/>
          <w:kern w:val="0"/>
          <w:sz w:val="24"/>
          <w:szCs w:val="24"/>
          <w:highlight w:val="none"/>
          <w:lang w:eastAsia="zh-CN"/>
        </w:rPr>
        <w:t>安装、调试、验收及技术服务等费用分段报价</w:t>
      </w:r>
    </w:p>
    <w:p w14:paraId="3B047FAE">
      <w:pPr>
        <w:widowControl/>
        <w:spacing w:beforeLines="0" w:afterLines="0" w:line="360" w:lineRule="auto"/>
        <w:ind w:firstLine="482" w:firstLineChars="200"/>
        <w:jc w:val="left"/>
        <w:rPr>
          <w:rFonts w:hint="default" w:ascii="Arial" w:hAnsi="宋体" w:cs="宋体"/>
          <w:b/>
          <w:bCs w:val="0"/>
          <w:color w:val="auto"/>
          <w:kern w:val="0"/>
          <w:sz w:val="24"/>
          <w:szCs w:val="24"/>
          <w:highlight w:val="none"/>
          <w:lang w:eastAsia="zh-CN"/>
        </w:rPr>
      </w:pPr>
      <w:r>
        <w:rPr>
          <w:rFonts w:hint="default" w:ascii="Arial" w:hAnsi="Arial" w:cs="Arial"/>
          <w:b/>
          <w:bCs w:val="0"/>
          <w:color w:val="auto"/>
          <w:kern w:val="0"/>
          <w:sz w:val="24"/>
          <w:szCs w:val="24"/>
          <w:highlight w:val="none"/>
          <w:lang w:eastAsia="zh-CN"/>
        </w:rPr>
        <w:t>9.1.4</w:t>
      </w:r>
      <w:r>
        <w:rPr>
          <w:rFonts w:hint="eastAsia" w:ascii="Arial" w:hAnsi="宋体" w:cs="宋体"/>
          <w:b/>
          <w:bCs w:val="0"/>
          <w:color w:val="auto"/>
          <w:kern w:val="0"/>
          <w:sz w:val="24"/>
          <w:szCs w:val="24"/>
          <w:highlight w:val="none"/>
          <w:lang w:eastAsia="zh-CN"/>
        </w:rPr>
        <w:t>交钥匙工程，设备配置应能满足甲方加工零件需要，每种产品各设计和制造一套夹具。</w:t>
      </w:r>
    </w:p>
    <w:p w14:paraId="620BCF23">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eastAsia" w:ascii="Arial" w:hAnsi="Arial" w:cs="Arial"/>
          <w:color w:val="auto"/>
          <w:kern w:val="0"/>
          <w:sz w:val="24"/>
          <w:szCs w:val="24"/>
          <w:highlight w:val="none"/>
          <w:lang w:eastAsia="zh-CN"/>
        </w:rPr>
        <w:t>（具体要求以最终协商后合同要求为准）</w:t>
      </w:r>
    </w:p>
    <w:p w14:paraId="6ED426DA">
      <w:pPr>
        <w:widowControl/>
        <w:spacing w:beforeLines="0" w:afterLines="0" w:line="360" w:lineRule="auto"/>
        <w:jc w:val="left"/>
        <w:rPr>
          <w:rFonts w:hint="default" w:ascii="Arial" w:cs="Arial"/>
          <w:color w:val="auto"/>
          <w:kern w:val="0"/>
          <w:sz w:val="24"/>
          <w:szCs w:val="24"/>
          <w:highlight w:val="none"/>
          <w:lang w:eastAsia="zh-CN"/>
        </w:rPr>
      </w:pPr>
      <w:r>
        <w:rPr>
          <w:rFonts w:hint="default" w:ascii="Arial" w:hAnsi="Arial" w:cs="Arial"/>
          <w:b/>
          <w:color w:val="auto"/>
          <w:kern w:val="0"/>
          <w:sz w:val="24"/>
          <w:szCs w:val="24"/>
          <w:highlight w:val="none"/>
          <w:lang w:eastAsia="zh-CN"/>
        </w:rPr>
        <w:t>10</w:t>
      </w:r>
      <w:r>
        <w:rPr>
          <w:rFonts w:hint="eastAsia" w:ascii="Arial" w:hAnsi="Arial" w:cs="Arial"/>
          <w:b/>
          <w:color w:val="auto"/>
          <w:kern w:val="0"/>
          <w:sz w:val="24"/>
          <w:szCs w:val="24"/>
          <w:highlight w:val="none"/>
          <w:lang w:eastAsia="zh-CN"/>
        </w:rPr>
        <w:t>．</w:t>
      </w:r>
      <w:r>
        <w:rPr>
          <w:rFonts w:hint="eastAsia" w:ascii="Arial" w:hAnsi="Arial" w:cs="Arial"/>
          <w:color w:val="auto"/>
          <w:kern w:val="0"/>
          <w:sz w:val="24"/>
          <w:szCs w:val="24"/>
          <w:highlight w:val="none"/>
          <w:lang w:eastAsia="zh-CN"/>
        </w:rPr>
        <w:t>列出下列选项清单，单独报价，不计入投标总价</w:t>
      </w:r>
    </w:p>
    <w:p w14:paraId="64C26668">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10.1</w:t>
      </w:r>
      <w:r>
        <w:rPr>
          <w:rFonts w:hint="eastAsia" w:ascii="Arial" w:hAnsi="Arial" w:cs="Arial"/>
          <w:color w:val="auto"/>
          <w:kern w:val="0"/>
          <w:sz w:val="24"/>
          <w:szCs w:val="24"/>
          <w:highlight w:val="none"/>
          <w:lang w:eastAsia="zh-CN"/>
        </w:rPr>
        <w:t>针对中国企业的实际情况，推荐其他认为需要考虑的机床选件</w:t>
      </w:r>
      <w:r>
        <w:rPr>
          <w:rFonts w:hint="default" w:ascii="Arial" w:hAnsi="Arial" w:cs="Arial"/>
          <w:color w:val="auto"/>
          <w:kern w:val="0"/>
          <w:sz w:val="24"/>
          <w:szCs w:val="24"/>
          <w:highlight w:val="none"/>
          <w:lang w:eastAsia="zh-CN"/>
        </w:rPr>
        <w:t xml:space="preserve"> </w:t>
      </w:r>
    </w:p>
    <w:p w14:paraId="731953FE">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eastAsia" w:ascii="Arial" w:hAnsi="Arial" w:cs="Arial"/>
          <w:color w:val="auto"/>
          <w:kern w:val="0"/>
          <w:sz w:val="24"/>
          <w:szCs w:val="24"/>
          <w:highlight w:val="none"/>
          <w:lang w:eastAsia="zh-CN"/>
        </w:rPr>
        <w:t>（具体要求以最终协商后合同要求为准）</w:t>
      </w:r>
    </w:p>
    <w:p w14:paraId="05FC4E94">
      <w:pPr>
        <w:widowControl w:val="0"/>
        <w:spacing w:beforeLines="0" w:afterLines="0" w:line="360" w:lineRule="auto"/>
        <w:jc w:val="both"/>
        <w:rPr>
          <w:rFonts w:hint="default" w:ascii="Arial" w:cs="Arial"/>
          <w:color w:val="auto"/>
          <w:kern w:val="0"/>
          <w:sz w:val="24"/>
          <w:szCs w:val="24"/>
          <w:highlight w:val="none"/>
          <w:lang w:eastAsia="zh-CN"/>
        </w:rPr>
      </w:pPr>
      <w:r>
        <w:rPr>
          <w:rFonts w:hint="default" w:ascii="Arial" w:hAnsi="Arial" w:cs="Arial"/>
          <w:b/>
          <w:color w:val="auto"/>
          <w:kern w:val="0"/>
          <w:sz w:val="24"/>
          <w:szCs w:val="24"/>
          <w:highlight w:val="none"/>
          <w:lang w:eastAsia="zh-CN"/>
        </w:rPr>
        <w:t>11</w:t>
      </w:r>
      <w:r>
        <w:rPr>
          <w:rFonts w:hint="eastAsia" w:ascii="Arial" w:hAnsi="Arial" w:cs="Arial"/>
          <w:b/>
          <w:color w:val="auto"/>
          <w:kern w:val="0"/>
          <w:sz w:val="24"/>
          <w:szCs w:val="24"/>
          <w:highlight w:val="none"/>
          <w:lang w:eastAsia="zh-CN"/>
        </w:rPr>
        <w:t>．</w:t>
      </w:r>
      <w:r>
        <w:rPr>
          <w:rFonts w:hint="eastAsia" w:ascii="Arial" w:hAnsi="Arial" w:cs="Arial"/>
          <w:color w:val="auto"/>
          <w:kern w:val="0"/>
          <w:sz w:val="24"/>
          <w:szCs w:val="24"/>
          <w:highlight w:val="none"/>
          <w:lang w:eastAsia="zh-CN"/>
        </w:rPr>
        <w:t>提供必要的技术资料</w:t>
      </w:r>
    </w:p>
    <w:p w14:paraId="2E9BF662">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11.1</w:t>
      </w:r>
      <w:r>
        <w:rPr>
          <w:rFonts w:hint="eastAsia" w:ascii="Arial" w:hAnsi="Arial" w:cs="Arial"/>
          <w:color w:val="auto"/>
          <w:kern w:val="0"/>
          <w:sz w:val="24"/>
          <w:szCs w:val="24"/>
          <w:highlight w:val="none"/>
          <w:lang w:eastAsia="zh-CN"/>
        </w:rPr>
        <w:t>机床操作使用说明书，维修手册</w:t>
      </w:r>
    </w:p>
    <w:p w14:paraId="00E56B24">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11.2</w:t>
      </w:r>
      <w:r>
        <w:rPr>
          <w:rFonts w:hint="eastAsia" w:ascii="Arial" w:hAnsi="Arial" w:cs="Arial"/>
          <w:color w:val="auto"/>
          <w:kern w:val="0"/>
          <w:sz w:val="24"/>
          <w:szCs w:val="24"/>
          <w:highlight w:val="none"/>
          <w:lang w:eastAsia="zh-CN"/>
        </w:rPr>
        <w:t>机械装配图，基础图，机床总图</w:t>
      </w:r>
    </w:p>
    <w:p w14:paraId="20497EB2">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11.3</w:t>
      </w:r>
      <w:r>
        <w:rPr>
          <w:rFonts w:hint="eastAsia" w:ascii="Arial" w:hAnsi="Arial" w:cs="Arial"/>
          <w:color w:val="auto"/>
          <w:kern w:val="0"/>
          <w:sz w:val="24"/>
          <w:szCs w:val="24"/>
          <w:highlight w:val="none"/>
          <w:lang w:eastAsia="zh-CN"/>
        </w:rPr>
        <w:t>电气，气动，液压原理图</w:t>
      </w:r>
    </w:p>
    <w:p w14:paraId="3FF0D517">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11.4</w:t>
      </w:r>
      <w:r>
        <w:rPr>
          <w:rFonts w:hint="eastAsia" w:ascii="Arial" w:hAnsi="Arial" w:cs="Arial"/>
          <w:color w:val="auto"/>
          <w:kern w:val="0"/>
          <w:sz w:val="24"/>
          <w:szCs w:val="24"/>
          <w:highlight w:val="none"/>
          <w:lang w:eastAsia="zh-CN"/>
        </w:rPr>
        <w:t>零部件清单</w:t>
      </w:r>
    </w:p>
    <w:p w14:paraId="16815EA8">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11.5 PLC</w:t>
      </w:r>
      <w:r>
        <w:rPr>
          <w:rFonts w:hint="eastAsia" w:ascii="Arial" w:hAnsi="Arial" w:cs="Arial"/>
          <w:color w:val="auto"/>
          <w:kern w:val="0"/>
          <w:sz w:val="24"/>
          <w:szCs w:val="24"/>
          <w:highlight w:val="none"/>
          <w:lang w:eastAsia="zh-CN"/>
        </w:rPr>
        <w:t>程序</w:t>
      </w:r>
    </w:p>
    <w:p w14:paraId="43CDB808">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 xml:space="preserve">11.6 </w:t>
      </w:r>
      <w:r>
        <w:rPr>
          <w:rFonts w:hint="eastAsia" w:ascii="Arial" w:hAnsi="Arial" w:cs="Arial"/>
          <w:color w:val="auto"/>
          <w:kern w:val="0"/>
          <w:sz w:val="24"/>
          <w:szCs w:val="24"/>
          <w:highlight w:val="none"/>
          <w:lang w:eastAsia="zh-CN"/>
        </w:rPr>
        <w:t>刀具清单、图纸</w:t>
      </w:r>
    </w:p>
    <w:p w14:paraId="01A7A365">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11.7</w:t>
      </w:r>
      <w:r>
        <w:rPr>
          <w:rFonts w:hint="eastAsia" w:ascii="Arial" w:hAnsi="Arial" w:cs="Arial"/>
          <w:color w:val="auto"/>
          <w:kern w:val="0"/>
          <w:sz w:val="24"/>
          <w:szCs w:val="24"/>
          <w:highlight w:val="none"/>
          <w:lang w:eastAsia="zh-CN"/>
        </w:rPr>
        <w:t>设备精度出厂记录</w:t>
      </w:r>
    </w:p>
    <w:p w14:paraId="54F1402C">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11.8</w:t>
      </w:r>
      <w:r>
        <w:rPr>
          <w:rFonts w:hint="eastAsia" w:ascii="Arial" w:hAnsi="Arial" w:cs="Arial"/>
          <w:color w:val="auto"/>
          <w:kern w:val="0"/>
          <w:sz w:val="24"/>
          <w:szCs w:val="24"/>
          <w:highlight w:val="none"/>
          <w:lang w:eastAsia="zh-CN"/>
        </w:rPr>
        <w:t>夹具精度检测报告</w:t>
      </w:r>
    </w:p>
    <w:p w14:paraId="5103847D">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11.9</w:t>
      </w:r>
      <w:r>
        <w:rPr>
          <w:rFonts w:hint="eastAsia" w:ascii="Arial" w:hAnsi="Arial" w:cs="Arial"/>
          <w:color w:val="auto"/>
          <w:kern w:val="0"/>
          <w:sz w:val="24"/>
          <w:szCs w:val="24"/>
          <w:highlight w:val="none"/>
          <w:lang w:eastAsia="zh-CN"/>
        </w:rPr>
        <w:t>换型表（要包含换型所需的工具清单，扭矩参数说明）</w:t>
      </w:r>
    </w:p>
    <w:p w14:paraId="460B75B7">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11.10</w:t>
      </w:r>
      <w:r>
        <w:rPr>
          <w:rFonts w:hint="eastAsia" w:ascii="Arial" w:hAnsi="Arial" w:cs="Arial"/>
          <w:color w:val="auto"/>
          <w:kern w:val="0"/>
          <w:sz w:val="24"/>
          <w:szCs w:val="24"/>
          <w:highlight w:val="none"/>
          <w:lang w:eastAsia="zh-CN"/>
        </w:rPr>
        <w:t>机床备件、易损件清单，内容包括：名称、型号、数量、厂家、零件号、订货号、价格、所在部位、功能描述等</w:t>
      </w:r>
    </w:p>
    <w:p w14:paraId="0E79FFB5">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cs="Arial"/>
          <w:color w:val="auto"/>
          <w:kern w:val="0"/>
          <w:sz w:val="24"/>
          <w:szCs w:val="24"/>
          <w:highlight w:val="none"/>
          <w:lang w:eastAsia="zh-CN"/>
        </w:rPr>
        <w:t>11.11</w:t>
      </w:r>
      <w:r>
        <w:rPr>
          <w:rFonts w:hint="eastAsia" w:ascii="Arial" w:cs="Arial"/>
          <w:color w:val="auto"/>
          <w:kern w:val="0"/>
          <w:sz w:val="24"/>
          <w:szCs w:val="24"/>
          <w:highlight w:val="none"/>
          <w:lang w:eastAsia="zh-CN"/>
        </w:rPr>
        <w:t>设备常见故障解决方案；提供各种报警代码的注释一览表以及解决办法。</w:t>
      </w:r>
    </w:p>
    <w:p w14:paraId="4E9F621C">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11.12</w:t>
      </w:r>
      <w:r>
        <w:rPr>
          <w:rFonts w:hint="eastAsia" w:ascii="Arial" w:hAnsi="Arial" w:cs="Arial"/>
          <w:color w:val="auto"/>
          <w:kern w:val="0"/>
          <w:sz w:val="24"/>
          <w:szCs w:val="24"/>
          <w:highlight w:val="none"/>
          <w:lang w:eastAsia="zh-CN"/>
        </w:rPr>
        <w:t>上述资料（除</w:t>
      </w:r>
      <w:r>
        <w:rPr>
          <w:rFonts w:hint="default" w:ascii="Arial" w:hAnsi="Arial" w:cs="Arial"/>
          <w:color w:val="auto"/>
          <w:kern w:val="0"/>
          <w:sz w:val="24"/>
          <w:szCs w:val="24"/>
          <w:highlight w:val="none"/>
          <w:lang w:eastAsia="zh-CN"/>
        </w:rPr>
        <w:t>PLC</w:t>
      </w:r>
      <w:r>
        <w:rPr>
          <w:rFonts w:hint="eastAsia" w:ascii="Arial" w:hAnsi="Arial" w:cs="Arial"/>
          <w:color w:val="auto"/>
          <w:kern w:val="0"/>
          <w:sz w:val="24"/>
          <w:szCs w:val="24"/>
          <w:highlight w:val="none"/>
          <w:lang w:eastAsia="zh-CN"/>
        </w:rPr>
        <w:t>程序），提供中英文正式文本各</w:t>
      </w:r>
      <w:r>
        <w:rPr>
          <w:rFonts w:hint="default" w:ascii="Arial" w:hAnsi="Arial" w:cs="Arial"/>
          <w:color w:val="auto"/>
          <w:kern w:val="0"/>
          <w:sz w:val="24"/>
          <w:szCs w:val="24"/>
          <w:highlight w:val="none"/>
          <w:lang w:eastAsia="zh-CN"/>
        </w:rPr>
        <w:t>2</w:t>
      </w:r>
      <w:r>
        <w:rPr>
          <w:rFonts w:hint="eastAsia" w:ascii="Arial" w:hAnsi="Arial" w:cs="Arial"/>
          <w:color w:val="auto"/>
          <w:kern w:val="0"/>
          <w:sz w:val="24"/>
          <w:szCs w:val="24"/>
          <w:highlight w:val="none"/>
          <w:lang w:eastAsia="zh-CN"/>
        </w:rPr>
        <w:t>套</w:t>
      </w:r>
    </w:p>
    <w:p w14:paraId="527D4F88">
      <w:pPr>
        <w:widowControl w:val="0"/>
        <w:spacing w:beforeLines="0" w:afterLines="0" w:line="360" w:lineRule="auto"/>
        <w:jc w:val="both"/>
        <w:rPr>
          <w:rFonts w:hint="default" w:ascii="Arial" w:cs="Arial"/>
          <w:color w:val="auto"/>
          <w:kern w:val="0"/>
          <w:sz w:val="24"/>
          <w:szCs w:val="24"/>
          <w:highlight w:val="none"/>
          <w:lang w:eastAsia="zh-CN"/>
        </w:rPr>
      </w:pPr>
      <w:r>
        <w:rPr>
          <w:rFonts w:hint="default" w:ascii="Arial" w:hAnsi="Arial" w:cs="Arial"/>
          <w:b/>
          <w:color w:val="auto"/>
          <w:kern w:val="0"/>
          <w:sz w:val="24"/>
          <w:szCs w:val="24"/>
          <w:highlight w:val="none"/>
          <w:lang w:eastAsia="zh-CN"/>
        </w:rPr>
        <w:t>12</w:t>
      </w:r>
      <w:r>
        <w:rPr>
          <w:rFonts w:hint="eastAsia" w:ascii="Arial" w:hAnsi="Arial" w:cs="Arial"/>
          <w:b/>
          <w:color w:val="auto"/>
          <w:kern w:val="0"/>
          <w:sz w:val="24"/>
          <w:szCs w:val="24"/>
          <w:highlight w:val="none"/>
          <w:lang w:eastAsia="zh-CN"/>
        </w:rPr>
        <w:t>．</w:t>
      </w:r>
      <w:r>
        <w:rPr>
          <w:rFonts w:hint="eastAsia" w:ascii="Arial" w:hAnsi="Arial" w:cs="Arial"/>
          <w:color w:val="auto"/>
          <w:kern w:val="0"/>
          <w:sz w:val="24"/>
          <w:szCs w:val="24"/>
          <w:highlight w:val="none"/>
          <w:lang w:eastAsia="zh-CN"/>
        </w:rPr>
        <w:t>预验收和终验收</w:t>
      </w:r>
    </w:p>
    <w:p w14:paraId="7ED62356">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12.1</w:t>
      </w:r>
      <w:r>
        <w:rPr>
          <w:rFonts w:hint="eastAsia" w:ascii="Arial" w:hAnsi="Arial" w:cs="Arial"/>
          <w:color w:val="auto"/>
          <w:kern w:val="0"/>
          <w:sz w:val="24"/>
          <w:szCs w:val="24"/>
          <w:highlight w:val="none"/>
          <w:lang w:eastAsia="zh-CN"/>
        </w:rPr>
        <w:t>预验收在乙方进行，加工试件由乙方在预验收前三个月通知甲方发送，费用由甲方负责；预验收由甲方选择</w:t>
      </w:r>
      <w:r>
        <w:rPr>
          <w:rFonts w:hint="default" w:ascii="Arial" w:hAnsi="Arial" w:cs="Arial"/>
          <w:color w:val="auto"/>
          <w:kern w:val="0"/>
          <w:sz w:val="24"/>
          <w:szCs w:val="24"/>
          <w:highlight w:val="none"/>
          <w:lang w:eastAsia="zh-CN"/>
        </w:rPr>
        <w:t>1</w:t>
      </w:r>
      <w:r>
        <w:rPr>
          <w:rFonts w:hint="eastAsia" w:ascii="Arial" w:hAnsi="Arial" w:cs="Arial"/>
          <w:color w:val="auto"/>
          <w:kern w:val="0"/>
          <w:sz w:val="24"/>
          <w:szCs w:val="24"/>
          <w:highlight w:val="none"/>
          <w:lang w:eastAsia="zh-CN"/>
        </w:rPr>
        <w:t>个主验收品种</w:t>
      </w:r>
      <w:r>
        <w:rPr>
          <w:rFonts w:hint="default" w:ascii="Arial" w:hAnsi="Arial" w:cs="Arial"/>
          <w:color w:val="auto"/>
          <w:kern w:val="0"/>
          <w:sz w:val="24"/>
          <w:szCs w:val="24"/>
          <w:highlight w:val="none"/>
          <w:lang w:eastAsia="zh-CN"/>
        </w:rPr>
        <w:t>HG15T</w:t>
      </w:r>
      <w:r>
        <w:rPr>
          <w:rFonts w:hint="eastAsia" w:ascii="Arial" w:hAnsi="Arial" w:cs="Arial"/>
          <w:color w:val="auto"/>
          <w:kern w:val="0"/>
          <w:sz w:val="24"/>
          <w:szCs w:val="24"/>
          <w:highlight w:val="none"/>
          <w:lang w:eastAsia="zh-CN"/>
        </w:rPr>
        <w:t>。</w:t>
      </w:r>
    </w:p>
    <w:p w14:paraId="7A65A317">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12.2</w:t>
      </w:r>
      <w:r>
        <w:rPr>
          <w:rFonts w:hint="eastAsia" w:ascii="Arial" w:hAnsi="Arial" w:cs="Arial"/>
          <w:color w:val="auto"/>
          <w:kern w:val="0"/>
          <w:sz w:val="24"/>
          <w:szCs w:val="24"/>
          <w:highlight w:val="none"/>
          <w:lang w:eastAsia="zh-CN"/>
        </w:rPr>
        <w:t>乙方在收到甲方提供的样件后，随机挑选</w:t>
      </w:r>
      <w:r>
        <w:rPr>
          <w:rFonts w:hint="default" w:ascii="Arial" w:hAnsi="Arial" w:cs="Arial"/>
          <w:color w:val="auto"/>
          <w:kern w:val="0"/>
          <w:sz w:val="24"/>
          <w:szCs w:val="24"/>
          <w:highlight w:val="none"/>
          <w:lang w:eastAsia="zh-CN"/>
        </w:rPr>
        <w:t>20</w:t>
      </w:r>
      <w:r>
        <w:rPr>
          <w:rFonts w:hint="eastAsia" w:ascii="Arial" w:hAnsi="Arial" w:cs="Arial"/>
          <w:color w:val="auto"/>
          <w:kern w:val="0"/>
          <w:sz w:val="24"/>
          <w:szCs w:val="24"/>
          <w:highlight w:val="none"/>
          <w:lang w:eastAsia="zh-CN"/>
        </w:rPr>
        <w:t>个样件对其振动</w:t>
      </w:r>
      <w:r>
        <w:rPr>
          <w:rFonts w:hint="default" w:ascii="Arial" w:hAnsi="Arial" w:cs="Arial"/>
          <w:color w:val="auto"/>
          <w:kern w:val="0"/>
          <w:sz w:val="24"/>
          <w:szCs w:val="24"/>
          <w:highlight w:val="none"/>
          <w:lang w:eastAsia="zh-CN"/>
        </w:rPr>
        <w:t>G</w:t>
      </w:r>
      <w:r>
        <w:rPr>
          <w:rFonts w:hint="eastAsia" w:ascii="Arial" w:hAnsi="Arial" w:cs="Arial"/>
          <w:color w:val="auto"/>
          <w:kern w:val="0"/>
          <w:sz w:val="24"/>
          <w:szCs w:val="24"/>
          <w:highlight w:val="none"/>
          <w:lang w:eastAsia="zh-CN"/>
        </w:rPr>
        <w:t>值进行测量，每个样件测试</w:t>
      </w:r>
      <w:r>
        <w:rPr>
          <w:rFonts w:hint="default" w:ascii="Arial" w:hAnsi="Arial" w:cs="Arial"/>
          <w:color w:val="auto"/>
          <w:kern w:val="0"/>
          <w:sz w:val="24"/>
          <w:szCs w:val="24"/>
          <w:highlight w:val="none"/>
          <w:lang w:eastAsia="zh-CN"/>
        </w:rPr>
        <w:t>3</w:t>
      </w:r>
      <w:r>
        <w:rPr>
          <w:rFonts w:hint="eastAsia" w:ascii="Arial" w:hAnsi="Arial" w:cs="Arial"/>
          <w:color w:val="auto"/>
          <w:kern w:val="0"/>
          <w:sz w:val="24"/>
          <w:szCs w:val="24"/>
          <w:highlight w:val="none"/>
          <w:lang w:eastAsia="zh-CN"/>
        </w:rPr>
        <w:t>次，并将测试结果发给甲方进行确认。在对测试结果进行评估后，甲方可能参考测试结果来调整</w:t>
      </w:r>
      <w:r>
        <w:rPr>
          <w:rFonts w:hint="default" w:ascii="Arial" w:hAnsi="Arial" w:cs="Arial"/>
          <w:color w:val="auto"/>
          <w:kern w:val="0"/>
          <w:sz w:val="24"/>
          <w:szCs w:val="24"/>
          <w:highlight w:val="none"/>
          <w:lang w:eastAsia="zh-CN"/>
        </w:rPr>
        <w:t>G</w:t>
      </w:r>
      <w:r>
        <w:rPr>
          <w:rFonts w:hint="eastAsia" w:ascii="Arial" w:hAnsi="Arial" w:cs="Arial"/>
          <w:color w:val="auto"/>
          <w:kern w:val="0"/>
          <w:sz w:val="24"/>
          <w:szCs w:val="24"/>
          <w:highlight w:val="none"/>
          <w:lang w:eastAsia="zh-CN"/>
        </w:rPr>
        <w:t>值公差标准，双方协商确认修改后的</w:t>
      </w:r>
      <w:r>
        <w:rPr>
          <w:rFonts w:hint="default" w:ascii="Arial" w:hAnsi="Arial" w:cs="Arial"/>
          <w:color w:val="auto"/>
          <w:kern w:val="0"/>
          <w:sz w:val="24"/>
          <w:szCs w:val="24"/>
          <w:highlight w:val="none"/>
          <w:lang w:eastAsia="zh-CN"/>
        </w:rPr>
        <w:t>G</w:t>
      </w:r>
      <w:r>
        <w:rPr>
          <w:rFonts w:hint="eastAsia" w:ascii="Arial" w:hAnsi="Arial" w:cs="Arial"/>
          <w:color w:val="auto"/>
          <w:kern w:val="0"/>
          <w:sz w:val="24"/>
          <w:szCs w:val="24"/>
          <w:highlight w:val="none"/>
          <w:lang w:eastAsia="zh-CN"/>
        </w:rPr>
        <w:t>值公差，并将使用新的</w:t>
      </w:r>
      <w:r>
        <w:rPr>
          <w:rFonts w:hint="default" w:ascii="Arial" w:hAnsi="Arial" w:cs="Arial"/>
          <w:color w:val="auto"/>
          <w:kern w:val="0"/>
          <w:sz w:val="24"/>
          <w:szCs w:val="24"/>
          <w:highlight w:val="none"/>
          <w:lang w:eastAsia="zh-CN"/>
        </w:rPr>
        <w:t>G</w:t>
      </w:r>
      <w:r>
        <w:rPr>
          <w:rFonts w:hint="eastAsia" w:ascii="Arial" w:hAnsi="Arial" w:cs="Arial"/>
          <w:color w:val="auto"/>
          <w:kern w:val="0"/>
          <w:sz w:val="24"/>
          <w:szCs w:val="24"/>
          <w:highlight w:val="none"/>
          <w:lang w:eastAsia="zh-CN"/>
        </w:rPr>
        <w:t>值公差进行设备的预验收和终验收考核。</w:t>
      </w:r>
    </w:p>
    <w:p w14:paraId="58C666C8">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12.3</w:t>
      </w:r>
      <w:r>
        <w:rPr>
          <w:rFonts w:hint="eastAsia" w:ascii="Arial" w:hAnsi="Arial" w:cs="Arial"/>
          <w:color w:val="auto"/>
          <w:kern w:val="0"/>
          <w:sz w:val="24"/>
          <w:szCs w:val="24"/>
          <w:highlight w:val="none"/>
          <w:lang w:eastAsia="zh-CN"/>
        </w:rPr>
        <w:t>在乙方工厂调试完毕，乙方检验合格后，乙方将调试加工数据及设备检验合格证书传送甲方，甲方收到传真后安排人员前往乙方预验收。</w:t>
      </w:r>
    </w:p>
    <w:p w14:paraId="342057B9">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12.4</w:t>
      </w:r>
      <w:r>
        <w:rPr>
          <w:rFonts w:hint="eastAsia" w:ascii="Arial" w:hAnsi="Arial" w:cs="Arial"/>
          <w:color w:val="auto"/>
          <w:kern w:val="0"/>
          <w:sz w:val="24"/>
          <w:szCs w:val="24"/>
          <w:highlight w:val="none"/>
          <w:lang w:eastAsia="zh-CN"/>
        </w:rPr>
        <w:t>终验收在甲方生产现场进行，验收主加工零件品种由甲方确定。机床调试结束后连续</w:t>
      </w:r>
      <w:r>
        <w:rPr>
          <w:rFonts w:hint="default" w:ascii="Arial" w:hAnsi="Arial" w:cs="Arial"/>
          <w:color w:val="auto"/>
          <w:kern w:val="0"/>
          <w:sz w:val="24"/>
          <w:szCs w:val="24"/>
          <w:highlight w:val="none"/>
          <w:lang w:eastAsia="zh-CN"/>
        </w:rPr>
        <w:t>8</w:t>
      </w:r>
      <w:r>
        <w:rPr>
          <w:rFonts w:hint="eastAsia" w:ascii="Arial" w:hAnsi="Arial" w:cs="Arial"/>
          <w:color w:val="auto"/>
          <w:kern w:val="0"/>
          <w:sz w:val="24"/>
          <w:szCs w:val="24"/>
          <w:highlight w:val="none"/>
          <w:lang w:eastAsia="zh-CN"/>
        </w:rPr>
        <w:t>小时生产试运行，要求</w:t>
      </w:r>
      <w:r>
        <w:rPr>
          <w:rFonts w:hint="default" w:ascii="Arial" w:hAnsi="Arial" w:cs="Arial"/>
          <w:color w:val="auto"/>
          <w:kern w:val="0"/>
          <w:sz w:val="24"/>
          <w:szCs w:val="24"/>
          <w:highlight w:val="none"/>
          <w:lang w:eastAsia="zh-CN"/>
        </w:rPr>
        <w:t>OEE</w:t>
      </w:r>
      <w:r>
        <w:rPr>
          <w:rFonts w:hint="eastAsia" w:ascii="Arial" w:hAnsi="Arial" w:cs="Arial"/>
          <w:color w:val="auto"/>
          <w:kern w:val="0"/>
          <w:sz w:val="24"/>
          <w:szCs w:val="24"/>
          <w:highlight w:val="none"/>
          <w:lang w:eastAsia="zh-CN"/>
        </w:rPr>
        <w:t>＞</w:t>
      </w:r>
      <w:r>
        <w:rPr>
          <w:rFonts w:hint="default" w:ascii="Arial" w:hAnsi="Arial" w:cs="Arial"/>
          <w:color w:val="auto"/>
          <w:kern w:val="0"/>
          <w:sz w:val="24"/>
          <w:szCs w:val="24"/>
          <w:highlight w:val="none"/>
          <w:lang w:eastAsia="zh-CN"/>
        </w:rPr>
        <w:t>95%</w:t>
      </w:r>
      <w:r>
        <w:rPr>
          <w:rFonts w:hint="eastAsia" w:ascii="Arial" w:hAnsi="Arial" w:cs="Arial"/>
          <w:color w:val="auto"/>
          <w:kern w:val="0"/>
          <w:sz w:val="24"/>
          <w:szCs w:val="24"/>
          <w:highlight w:val="none"/>
          <w:lang w:eastAsia="zh-CN"/>
        </w:rPr>
        <w:t>；产品的初始不平衡量在可校正范围内的工况下，要求产品合格率</w:t>
      </w:r>
      <w:r>
        <w:rPr>
          <w:rFonts w:hint="default" w:ascii="Arial" w:hAnsi="Arial" w:cs="Arial"/>
          <w:color w:val="auto"/>
          <w:kern w:val="0"/>
          <w:sz w:val="24"/>
          <w:szCs w:val="24"/>
          <w:highlight w:val="none"/>
          <w:lang w:eastAsia="zh-CN"/>
        </w:rPr>
        <w:t>≥98%</w:t>
      </w:r>
      <w:r>
        <w:rPr>
          <w:rFonts w:hint="eastAsia" w:ascii="Arial" w:hAnsi="Arial" w:cs="Arial"/>
          <w:color w:val="auto"/>
          <w:kern w:val="0"/>
          <w:sz w:val="24"/>
          <w:szCs w:val="24"/>
          <w:highlight w:val="none"/>
          <w:lang w:eastAsia="zh-CN"/>
        </w:rPr>
        <w:t>；</w:t>
      </w:r>
    </w:p>
    <w:p w14:paraId="3CC7EC0D">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eastAsia" w:ascii="Arial" w:hAnsi="Arial" w:cs="Arial"/>
          <w:color w:val="auto"/>
          <w:kern w:val="0"/>
          <w:sz w:val="24"/>
          <w:szCs w:val="24"/>
          <w:highlight w:val="none"/>
          <w:lang w:eastAsia="zh-CN"/>
        </w:rPr>
        <w:t>重复性和相关性：产品更换时，一致性</w:t>
      </w:r>
      <w:r>
        <w:rPr>
          <w:rFonts w:hint="default" w:ascii="Arial" w:hAnsi="Arial" w:cs="Arial"/>
          <w:color w:val="auto"/>
          <w:kern w:val="0"/>
          <w:sz w:val="24"/>
          <w:szCs w:val="24"/>
          <w:highlight w:val="none"/>
          <w:lang w:eastAsia="zh-CN"/>
        </w:rPr>
        <w:t xml:space="preserve"> R 2 &gt; 0.95</w:t>
      </w:r>
      <w:r>
        <w:rPr>
          <w:rFonts w:hint="eastAsia" w:ascii="Arial" w:hAnsi="Arial" w:cs="Arial"/>
          <w:color w:val="auto"/>
          <w:kern w:val="0"/>
          <w:sz w:val="24"/>
          <w:szCs w:val="24"/>
          <w:highlight w:val="none"/>
          <w:lang w:eastAsia="zh-CN"/>
        </w:rPr>
        <w:t>；在同一台机器上换两套不同的工装或两台不同的机器上换不同的工装时，一致性</w:t>
      </w:r>
      <w:r>
        <w:rPr>
          <w:rFonts w:hint="default" w:ascii="Arial" w:hAnsi="Arial" w:cs="Arial"/>
          <w:color w:val="auto"/>
          <w:kern w:val="0"/>
          <w:sz w:val="24"/>
          <w:szCs w:val="24"/>
          <w:highlight w:val="none"/>
          <w:lang w:eastAsia="zh-CN"/>
        </w:rPr>
        <w:t xml:space="preserve"> R 2 &gt; 0.90</w:t>
      </w:r>
      <w:r>
        <w:rPr>
          <w:rFonts w:hint="eastAsia" w:ascii="Arial" w:hAnsi="Arial" w:cs="Arial"/>
          <w:color w:val="auto"/>
          <w:kern w:val="0"/>
          <w:sz w:val="24"/>
          <w:szCs w:val="24"/>
          <w:highlight w:val="none"/>
          <w:lang w:eastAsia="zh-CN"/>
        </w:rPr>
        <w:t>；</w:t>
      </w:r>
    </w:p>
    <w:p w14:paraId="4A722802">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eastAsia" w:ascii="Arial" w:hAnsi="Arial" w:cs="Arial"/>
          <w:color w:val="auto"/>
          <w:kern w:val="0"/>
          <w:sz w:val="24"/>
          <w:szCs w:val="24"/>
          <w:highlight w:val="none"/>
          <w:lang w:eastAsia="zh-CN"/>
        </w:rPr>
        <w:t>重复性再现性</w:t>
      </w:r>
      <w:r>
        <w:rPr>
          <w:rFonts w:hint="default" w:ascii="Arial" w:hAnsi="Arial" w:cs="Arial"/>
          <w:color w:val="auto"/>
          <w:kern w:val="0"/>
          <w:sz w:val="24"/>
          <w:szCs w:val="24"/>
          <w:highlight w:val="none"/>
          <w:lang w:eastAsia="zh-CN"/>
        </w:rPr>
        <w:t xml:space="preserve">  GR&amp;R&lt; 15%</w:t>
      </w:r>
      <w:r>
        <w:rPr>
          <w:rFonts w:hint="eastAsia" w:ascii="Arial" w:hAnsi="Arial" w:cs="Arial"/>
          <w:color w:val="auto"/>
          <w:kern w:val="0"/>
          <w:sz w:val="24"/>
          <w:szCs w:val="24"/>
          <w:highlight w:val="none"/>
          <w:lang w:eastAsia="zh-CN"/>
        </w:rPr>
        <w:t>，关键能力系数</w:t>
      </w:r>
      <w:r>
        <w:rPr>
          <w:rFonts w:hint="default" w:ascii="Arial" w:hAnsi="Arial" w:cs="Arial"/>
          <w:color w:val="auto"/>
          <w:kern w:val="0"/>
          <w:sz w:val="24"/>
          <w:szCs w:val="24"/>
          <w:highlight w:val="none"/>
          <w:lang w:eastAsia="zh-CN"/>
        </w:rPr>
        <w:t>Cg&gt; 1.33</w:t>
      </w:r>
      <w:r>
        <w:rPr>
          <w:rFonts w:hint="eastAsia" w:ascii="Arial" w:hAnsi="Arial" w:cs="Arial"/>
          <w:color w:val="auto"/>
          <w:kern w:val="0"/>
          <w:sz w:val="24"/>
          <w:szCs w:val="24"/>
          <w:highlight w:val="none"/>
          <w:lang w:eastAsia="zh-CN"/>
        </w:rPr>
        <w:t>。</w:t>
      </w:r>
    </w:p>
    <w:p w14:paraId="36494AEC">
      <w:pPr>
        <w:widowControl/>
        <w:spacing w:beforeLines="0" w:afterLines="0" w:line="360" w:lineRule="auto"/>
        <w:jc w:val="left"/>
        <w:rPr>
          <w:rFonts w:hint="default" w:ascii="Arial" w:cs="Arial"/>
          <w:color w:val="auto"/>
          <w:kern w:val="0"/>
          <w:sz w:val="24"/>
          <w:szCs w:val="24"/>
          <w:highlight w:val="none"/>
          <w:lang w:eastAsia="zh-CN"/>
        </w:rPr>
      </w:pPr>
      <w:r>
        <w:rPr>
          <w:rFonts w:hint="eastAsia" w:ascii="Arial" w:hAnsi="Arial" w:cs="Arial"/>
          <w:color w:val="auto"/>
          <w:kern w:val="0"/>
          <w:sz w:val="24"/>
          <w:szCs w:val="24"/>
          <w:highlight w:val="none"/>
          <w:lang w:eastAsia="zh-CN"/>
        </w:rPr>
        <w:t>（具体要求以最终协商后合同要求为准）</w:t>
      </w:r>
    </w:p>
    <w:p w14:paraId="762010E1">
      <w:pPr>
        <w:widowControl w:val="0"/>
        <w:spacing w:beforeLines="0" w:afterLines="0" w:line="360" w:lineRule="auto"/>
        <w:jc w:val="both"/>
        <w:rPr>
          <w:rFonts w:hint="default" w:ascii="Arial" w:cs="Arial"/>
          <w:color w:val="auto"/>
          <w:kern w:val="0"/>
          <w:sz w:val="24"/>
          <w:szCs w:val="24"/>
          <w:highlight w:val="none"/>
          <w:lang w:eastAsia="zh-CN"/>
        </w:rPr>
      </w:pPr>
      <w:r>
        <w:rPr>
          <w:rFonts w:hint="default" w:ascii="Arial" w:hAnsi="Arial" w:cs="Arial"/>
          <w:b/>
          <w:color w:val="auto"/>
          <w:kern w:val="0"/>
          <w:sz w:val="24"/>
          <w:szCs w:val="24"/>
          <w:highlight w:val="none"/>
          <w:lang w:eastAsia="zh-CN"/>
        </w:rPr>
        <w:t>13</w:t>
      </w:r>
      <w:r>
        <w:rPr>
          <w:rFonts w:hint="eastAsia" w:ascii="Arial" w:hAnsi="Arial" w:cs="Arial"/>
          <w:b/>
          <w:color w:val="auto"/>
          <w:kern w:val="0"/>
          <w:sz w:val="24"/>
          <w:szCs w:val="24"/>
          <w:highlight w:val="none"/>
          <w:lang w:eastAsia="zh-CN"/>
        </w:rPr>
        <w:t>．</w:t>
      </w:r>
      <w:r>
        <w:rPr>
          <w:rFonts w:hint="eastAsia" w:ascii="Arial" w:hAnsi="Arial" w:cs="Arial"/>
          <w:color w:val="auto"/>
          <w:kern w:val="0"/>
          <w:sz w:val="24"/>
          <w:szCs w:val="24"/>
          <w:highlight w:val="none"/>
          <w:lang w:eastAsia="zh-CN"/>
        </w:rPr>
        <w:t>甲方人员的培训</w:t>
      </w:r>
    </w:p>
    <w:p w14:paraId="1F4156E2">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13.1</w:t>
      </w:r>
      <w:r>
        <w:rPr>
          <w:rFonts w:hint="eastAsia" w:ascii="Arial" w:hAnsi="Arial" w:cs="Arial"/>
          <w:color w:val="auto"/>
          <w:kern w:val="0"/>
          <w:sz w:val="24"/>
          <w:szCs w:val="24"/>
          <w:highlight w:val="none"/>
          <w:lang w:eastAsia="zh-CN"/>
        </w:rPr>
        <w:t>终验收培训时间不少于</w:t>
      </w:r>
      <w:r>
        <w:rPr>
          <w:rFonts w:hint="default" w:ascii="Arial" w:hAnsi="Arial" w:cs="Arial"/>
          <w:color w:val="auto"/>
          <w:kern w:val="0"/>
          <w:sz w:val="24"/>
          <w:szCs w:val="24"/>
          <w:highlight w:val="none"/>
          <w:lang w:eastAsia="zh-CN"/>
        </w:rPr>
        <w:t>3</w:t>
      </w:r>
      <w:r>
        <w:rPr>
          <w:rFonts w:hint="eastAsia" w:ascii="Arial" w:hAnsi="Arial" w:cs="Arial"/>
          <w:color w:val="auto"/>
          <w:kern w:val="0"/>
          <w:sz w:val="24"/>
          <w:szCs w:val="24"/>
          <w:highlight w:val="none"/>
          <w:lang w:eastAsia="zh-CN"/>
        </w:rPr>
        <w:t>个工作日；</w:t>
      </w:r>
    </w:p>
    <w:p w14:paraId="2932B2FC">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13.2</w:t>
      </w:r>
      <w:r>
        <w:rPr>
          <w:rFonts w:hint="eastAsia" w:ascii="Arial" w:hAnsi="Arial" w:cs="Arial"/>
          <w:color w:val="auto"/>
          <w:kern w:val="0"/>
          <w:sz w:val="24"/>
          <w:szCs w:val="24"/>
          <w:highlight w:val="none"/>
          <w:lang w:eastAsia="zh-CN"/>
        </w:rPr>
        <w:t>终验收时乙方应培训甲方验收人员独立操作的能力（包括夹具换型、设备故障的处理、产品标定、参数设置、数据导出、维护保养等），同时培训机械、电气、程序等相关知识。</w:t>
      </w:r>
      <w:r>
        <w:rPr>
          <w:rFonts w:hint="default" w:ascii="Arial" w:cs="Arial"/>
          <w:color w:val="auto"/>
          <w:kern w:val="0"/>
          <w:sz w:val="24"/>
          <w:szCs w:val="24"/>
          <w:highlight w:val="none"/>
          <w:lang w:eastAsia="zh-CN"/>
        </w:rPr>
        <w:t xml:space="preserve"> </w:t>
      </w:r>
    </w:p>
    <w:p w14:paraId="7D6B5C0F">
      <w:pPr>
        <w:widowControl/>
        <w:spacing w:beforeLines="0" w:afterLines="0" w:line="360" w:lineRule="auto"/>
        <w:jc w:val="left"/>
        <w:rPr>
          <w:rFonts w:hint="default" w:ascii="Arial" w:cs="Arial"/>
          <w:color w:val="auto"/>
          <w:kern w:val="0"/>
          <w:sz w:val="24"/>
          <w:szCs w:val="24"/>
          <w:highlight w:val="none"/>
          <w:lang w:eastAsia="zh-CN"/>
        </w:rPr>
      </w:pPr>
      <w:r>
        <w:rPr>
          <w:rFonts w:hint="default" w:ascii="Arial" w:hAnsi="Arial" w:cs="Arial"/>
          <w:b/>
          <w:color w:val="auto"/>
          <w:kern w:val="0"/>
          <w:sz w:val="24"/>
          <w:szCs w:val="24"/>
          <w:highlight w:val="none"/>
          <w:lang w:eastAsia="zh-CN"/>
        </w:rPr>
        <w:t>14</w:t>
      </w:r>
      <w:r>
        <w:rPr>
          <w:rFonts w:hint="eastAsia" w:ascii="Arial" w:hAnsi="Arial" w:cs="Arial"/>
          <w:b/>
          <w:color w:val="auto"/>
          <w:kern w:val="0"/>
          <w:sz w:val="24"/>
          <w:szCs w:val="24"/>
          <w:highlight w:val="none"/>
          <w:lang w:eastAsia="zh-CN"/>
        </w:rPr>
        <w:t>．</w:t>
      </w:r>
      <w:r>
        <w:rPr>
          <w:rFonts w:hint="eastAsia" w:ascii="Arial" w:hAnsi="Arial" w:cs="Arial"/>
          <w:color w:val="auto"/>
          <w:kern w:val="0"/>
          <w:sz w:val="24"/>
          <w:szCs w:val="24"/>
          <w:highlight w:val="none"/>
          <w:lang w:eastAsia="zh-CN"/>
        </w:rPr>
        <w:t>技术服务</w:t>
      </w:r>
    </w:p>
    <w:p w14:paraId="4AA50548">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14.1</w:t>
      </w:r>
      <w:r>
        <w:rPr>
          <w:rFonts w:hint="eastAsia" w:ascii="Arial" w:hAnsi="Arial" w:cs="Arial"/>
          <w:color w:val="auto"/>
          <w:kern w:val="0"/>
          <w:sz w:val="24"/>
          <w:szCs w:val="24"/>
          <w:highlight w:val="none"/>
          <w:lang w:eastAsia="zh-CN"/>
        </w:rPr>
        <w:t>在设备到达甲方现场后，甲方通知乙方</w:t>
      </w:r>
      <w:r>
        <w:rPr>
          <w:rFonts w:hint="default" w:ascii="Arial" w:hAnsi="Arial" w:cs="Arial"/>
          <w:color w:val="auto"/>
          <w:kern w:val="0"/>
          <w:sz w:val="24"/>
          <w:szCs w:val="24"/>
          <w:highlight w:val="none"/>
          <w:lang w:eastAsia="zh-CN"/>
        </w:rPr>
        <w:t>20</w:t>
      </w:r>
      <w:r>
        <w:rPr>
          <w:rFonts w:hint="eastAsia" w:ascii="Arial" w:hAnsi="Arial" w:cs="Arial"/>
          <w:color w:val="auto"/>
          <w:kern w:val="0"/>
          <w:sz w:val="24"/>
          <w:szCs w:val="24"/>
          <w:highlight w:val="none"/>
          <w:lang w:eastAsia="zh-CN"/>
        </w:rPr>
        <w:t>个工作日内，乙方必须负责安装调试完毕</w:t>
      </w:r>
    </w:p>
    <w:p w14:paraId="2138BD2B">
      <w:pPr>
        <w:widowControl/>
        <w:spacing w:beforeLines="0" w:afterLines="0" w:line="360" w:lineRule="auto"/>
        <w:ind w:firstLine="480" w:firstLineChars="200"/>
        <w:jc w:val="left"/>
        <w:rPr>
          <w:rFonts w:hint="default" w:ascii="Arial" w:cs="Arial"/>
          <w:color w:val="auto"/>
          <w:kern w:val="0"/>
          <w:sz w:val="24"/>
          <w:szCs w:val="24"/>
          <w:highlight w:val="none"/>
          <w:lang w:eastAsia="zh-CN"/>
        </w:rPr>
      </w:pPr>
      <w:r>
        <w:rPr>
          <w:rFonts w:hint="default" w:ascii="Arial" w:hAnsi="Arial" w:cs="Arial"/>
          <w:color w:val="auto"/>
          <w:kern w:val="0"/>
          <w:sz w:val="24"/>
          <w:szCs w:val="24"/>
          <w:highlight w:val="none"/>
          <w:lang w:eastAsia="zh-CN"/>
        </w:rPr>
        <w:t>14.2</w:t>
      </w:r>
      <w:r>
        <w:rPr>
          <w:rFonts w:hint="eastAsia" w:ascii="Arial" w:hAnsi="Arial" w:cs="Arial"/>
          <w:color w:val="auto"/>
          <w:kern w:val="0"/>
          <w:sz w:val="24"/>
          <w:szCs w:val="24"/>
          <w:highlight w:val="none"/>
          <w:lang w:eastAsia="zh-CN"/>
        </w:rPr>
        <w:t>设备终验收后，整机质量保修期</w:t>
      </w:r>
      <w:r>
        <w:rPr>
          <w:rFonts w:hint="default" w:ascii="Arial" w:hAnsi="Arial" w:cs="Arial"/>
          <w:color w:val="auto"/>
          <w:kern w:val="0"/>
          <w:sz w:val="24"/>
          <w:szCs w:val="24"/>
          <w:highlight w:val="none"/>
          <w:lang w:eastAsia="zh-CN"/>
        </w:rPr>
        <w:t>1</w:t>
      </w:r>
      <w:r>
        <w:rPr>
          <w:rFonts w:hint="eastAsia" w:ascii="Arial" w:hAnsi="Arial" w:cs="Arial"/>
          <w:color w:val="auto"/>
          <w:kern w:val="0"/>
          <w:sz w:val="24"/>
          <w:szCs w:val="24"/>
          <w:highlight w:val="none"/>
          <w:lang w:eastAsia="zh-CN"/>
        </w:rPr>
        <w:t>年，在收到甲方故障信息后，要求乙方</w:t>
      </w:r>
      <w:r>
        <w:rPr>
          <w:rFonts w:hint="default" w:ascii="Arial" w:hAnsi="Arial" w:cs="Arial"/>
          <w:color w:val="auto"/>
          <w:kern w:val="0"/>
          <w:sz w:val="24"/>
          <w:szCs w:val="24"/>
          <w:highlight w:val="none"/>
          <w:lang w:eastAsia="zh-CN"/>
        </w:rPr>
        <w:t>48</w:t>
      </w:r>
      <w:r>
        <w:rPr>
          <w:rFonts w:hint="eastAsia" w:ascii="Arial" w:hAnsi="Arial" w:cs="Arial"/>
          <w:color w:val="auto"/>
          <w:kern w:val="0"/>
          <w:sz w:val="24"/>
          <w:szCs w:val="24"/>
          <w:highlight w:val="none"/>
          <w:lang w:eastAsia="zh-CN"/>
        </w:rPr>
        <w:t>小时内派工程师到现场，</w:t>
      </w:r>
      <w:r>
        <w:rPr>
          <w:rFonts w:hint="default" w:ascii="Arial" w:hAnsi="Arial" w:cs="Arial"/>
          <w:color w:val="auto"/>
          <w:kern w:val="0"/>
          <w:sz w:val="24"/>
          <w:szCs w:val="24"/>
          <w:highlight w:val="none"/>
          <w:lang w:eastAsia="zh-CN"/>
        </w:rPr>
        <w:t>3</w:t>
      </w:r>
      <w:r>
        <w:rPr>
          <w:rFonts w:hint="eastAsia" w:ascii="Arial" w:hAnsi="Arial" w:cs="Arial"/>
          <w:color w:val="auto"/>
          <w:kern w:val="0"/>
          <w:sz w:val="24"/>
          <w:szCs w:val="24"/>
          <w:highlight w:val="none"/>
          <w:lang w:eastAsia="zh-CN"/>
        </w:rPr>
        <w:t>个工作日内排除故障</w:t>
      </w:r>
      <w:r>
        <w:rPr>
          <w:rFonts w:hint="default" w:ascii="Arial" w:hAnsi="Arial" w:cs="Arial"/>
          <w:color w:val="auto"/>
          <w:kern w:val="0"/>
          <w:sz w:val="24"/>
          <w:szCs w:val="24"/>
          <w:highlight w:val="none"/>
          <w:lang w:eastAsia="zh-CN"/>
        </w:rPr>
        <w:t>(</w:t>
      </w:r>
      <w:r>
        <w:rPr>
          <w:rFonts w:hint="eastAsia" w:ascii="Arial" w:hAnsi="Arial" w:cs="Arial"/>
          <w:color w:val="auto"/>
          <w:kern w:val="0"/>
          <w:sz w:val="24"/>
          <w:szCs w:val="24"/>
          <w:highlight w:val="none"/>
          <w:lang w:eastAsia="zh-CN"/>
        </w:rPr>
        <w:t>等待更换件的时间另计</w:t>
      </w:r>
      <w:r>
        <w:rPr>
          <w:rFonts w:hint="default" w:ascii="Arial" w:hAnsi="Arial" w:cs="Arial"/>
          <w:color w:val="auto"/>
          <w:kern w:val="0"/>
          <w:sz w:val="24"/>
          <w:szCs w:val="24"/>
          <w:highlight w:val="none"/>
          <w:lang w:eastAsia="zh-CN"/>
        </w:rPr>
        <w:t>)</w:t>
      </w:r>
      <w:r>
        <w:rPr>
          <w:rFonts w:hint="eastAsia" w:ascii="Arial" w:hAnsi="Arial" w:cs="Arial"/>
          <w:color w:val="auto"/>
          <w:kern w:val="0"/>
          <w:sz w:val="24"/>
          <w:szCs w:val="24"/>
          <w:highlight w:val="none"/>
          <w:lang w:eastAsia="zh-CN"/>
        </w:rPr>
        <w:t>。</w:t>
      </w:r>
    </w:p>
    <w:p w14:paraId="636D9351">
      <w:pPr>
        <w:widowControl w:val="0"/>
        <w:spacing w:beforeLines="0" w:afterLines="0" w:line="360" w:lineRule="auto"/>
        <w:jc w:val="both"/>
        <w:rPr>
          <w:rFonts w:hint="default" w:ascii="Arial" w:cs="Arial"/>
          <w:color w:val="auto"/>
          <w:kern w:val="0"/>
          <w:sz w:val="24"/>
          <w:szCs w:val="24"/>
          <w:highlight w:val="none"/>
          <w:lang w:eastAsia="zh-CN"/>
        </w:rPr>
      </w:pPr>
      <w:r>
        <w:rPr>
          <w:rFonts w:hint="default" w:ascii="Arial" w:hAnsi="Arial" w:cs="Arial"/>
          <w:b/>
          <w:color w:val="auto"/>
          <w:kern w:val="0"/>
          <w:sz w:val="24"/>
          <w:szCs w:val="24"/>
          <w:highlight w:val="none"/>
          <w:lang w:eastAsia="zh-CN"/>
        </w:rPr>
        <w:t>15</w:t>
      </w:r>
      <w:r>
        <w:rPr>
          <w:rFonts w:hint="eastAsia" w:ascii="Arial" w:hAnsi="Arial" w:cs="Arial"/>
          <w:b/>
          <w:color w:val="auto"/>
          <w:kern w:val="0"/>
          <w:sz w:val="24"/>
          <w:szCs w:val="24"/>
          <w:highlight w:val="none"/>
          <w:lang w:eastAsia="zh-CN"/>
        </w:rPr>
        <w:t>．</w:t>
      </w:r>
      <w:r>
        <w:rPr>
          <w:rFonts w:hint="eastAsia" w:ascii="Arial" w:hAnsi="Arial" w:cs="Arial"/>
          <w:color w:val="auto"/>
          <w:kern w:val="0"/>
          <w:sz w:val="24"/>
          <w:szCs w:val="24"/>
          <w:highlight w:val="none"/>
          <w:lang w:eastAsia="en-US"/>
        </w:rPr>
        <w:t>交货地点：</w:t>
      </w:r>
      <w:r>
        <w:rPr>
          <w:rFonts w:hint="eastAsia" w:ascii="Arial" w:hAnsi="Arial" w:cs="Arial"/>
          <w:color w:val="auto"/>
          <w:kern w:val="0"/>
          <w:sz w:val="24"/>
          <w:szCs w:val="24"/>
          <w:highlight w:val="none"/>
          <w:lang w:eastAsia="zh-CN"/>
        </w:rPr>
        <w:t>宁波</w:t>
      </w:r>
    </w:p>
    <w:p w14:paraId="3F3E0454">
      <w:pPr>
        <w:widowControl/>
        <w:jc w:val="left"/>
        <w:rPr>
          <w:color w:val="auto"/>
          <w:szCs w:val="21"/>
          <w:highlight w:val="none"/>
        </w:rPr>
      </w:pPr>
      <w:r>
        <w:rPr>
          <w:color w:val="auto"/>
          <w:szCs w:val="21"/>
          <w:highlight w:val="none"/>
        </w:rPr>
        <w:br w:type="page"/>
      </w:r>
    </w:p>
    <w:bookmarkEnd w:id="4"/>
    <w:p w14:paraId="4938D9F0">
      <w:pPr>
        <w:spacing w:line="360" w:lineRule="auto"/>
        <w:rPr>
          <w:rFonts w:ascii="黑体" w:hAnsi="黑体" w:eastAsia="黑体"/>
          <w:b/>
          <w:color w:val="auto"/>
          <w:sz w:val="52"/>
          <w:highlight w:val="none"/>
        </w:rPr>
      </w:pPr>
    </w:p>
    <w:p w14:paraId="250DBAB5">
      <w:pPr>
        <w:spacing w:line="360" w:lineRule="auto"/>
        <w:jc w:val="center"/>
        <w:rPr>
          <w:rFonts w:ascii="黑体" w:hAnsi="黑体" w:eastAsia="黑体"/>
          <w:b/>
          <w:color w:val="auto"/>
          <w:sz w:val="52"/>
          <w:highlight w:val="none"/>
        </w:rPr>
      </w:pPr>
    </w:p>
    <w:p w14:paraId="1AC08886">
      <w:pPr>
        <w:spacing w:line="360" w:lineRule="auto"/>
        <w:jc w:val="center"/>
        <w:rPr>
          <w:rFonts w:ascii="黑体" w:hAnsi="黑体" w:eastAsia="黑体"/>
          <w:b/>
          <w:color w:val="auto"/>
          <w:sz w:val="52"/>
          <w:highlight w:val="none"/>
        </w:rPr>
      </w:pPr>
    </w:p>
    <w:p w14:paraId="67423D31">
      <w:pPr>
        <w:spacing w:line="360" w:lineRule="auto"/>
        <w:jc w:val="center"/>
        <w:rPr>
          <w:rFonts w:ascii="黑体" w:hAnsi="黑体" w:eastAsia="黑体"/>
          <w:b/>
          <w:color w:val="auto"/>
          <w:sz w:val="52"/>
          <w:highlight w:val="none"/>
        </w:rPr>
      </w:pPr>
    </w:p>
    <w:p w14:paraId="733269B3">
      <w:pPr>
        <w:pStyle w:val="2"/>
        <w:jc w:val="center"/>
        <w:rPr>
          <w:rFonts w:ascii="黑体" w:hAnsi="黑体" w:eastAsia="黑体"/>
          <w:color w:val="auto"/>
          <w:sz w:val="52"/>
          <w:highlight w:val="none"/>
        </w:rPr>
      </w:pPr>
      <w:r>
        <w:rPr>
          <w:rFonts w:ascii="黑体" w:hAnsi="黑体" w:eastAsia="黑体"/>
          <w:color w:val="auto"/>
          <w:sz w:val="52"/>
          <w:highlight w:val="none"/>
        </w:rPr>
        <w:t xml:space="preserve"> </w:t>
      </w:r>
      <w:bookmarkStart w:id="5" w:name="_Toc142988044"/>
      <w:r>
        <w:rPr>
          <w:rFonts w:hint="eastAsia" w:ascii="黑体" w:hAnsi="黑体" w:eastAsia="黑体"/>
          <w:color w:val="auto"/>
          <w:sz w:val="52"/>
          <w:highlight w:val="none"/>
        </w:rPr>
        <w:t>支付招标服务费承诺书</w:t>
      </w:r>
      <w:bookmarkEnd w:id="5"/>
    </w:p>
    <w:p w14:paraId="700DDD41">
      <w:pPr>
        <w:widowControl/>
        <w:jc w:val="left"/>
        <w:rPr>
          <w:rFonts w:ascii="黑体" w:hAnsi="黑体" w:eastAsia="黑体"/>
          <w:b/>
          <w:color w:val="auto"/>
          <w:sz w:val="52"/>
          <w:highlight w:val="none"/>
        </w:rPr>
      </w:pPr>
      <w:r>
        <w:rPr>
          <w:rFonts w:ascii="黑体" w:hAnsi="黑体" w:eastAsia="黑体"/>
          <w:b/>
          <w:color w:val="auto"/>
          <w:sz w:val="52"/>
          <w:highlight w:val="none"/>
        </w:rPr>
        <w:br w:type="page"/>
      </w:r>
    </w:p>
    <w:p w14:paraId="5EEDEFBC">
      <w:pPr>
        <w:spacing w:line="360" w:lineRule="auto"/>
        <w:jc w:val="center"/>
        <w:rPr>
          <w:rFonts w:asciiTheme="minorEastAsia" w:hAnsiTheme="minorEastAsia" w:eastAsiaTheme="minorEastAsia"/>
          <w:b/>
          <w:color w:val="auto"/>
          <w:sz w:val="36"/>
          <w:highlight w:val="none"/>
        </w:rPr>
      </w:pPr>
      <w:r>
        <w:rPr>
          <w:rFonts w:asciiTheme="minorEastAsia" w:hAnsiTheme="minorEastAsia" w:eastAsiaTheme="minorEastAsia"/>
          <w:b/>
          <w:color w:val="auto"/>
          <w:sz w:val="36"/>
          <w:highlight w:val="none"/>
        </w:rPr>
        <w:t>支付</w:t>
      </w:r>
      <w:r>
        <w:rPr>
          <w:rFonts w:hint="eastAsia" w:asciiTheme="minorEastAsia" w:hAnsiTheme="minorEastAsia" w:eastAsiaTheme="minorEastAsia"/>
          <w:b/>
          <w:color w:val="auto"/>
          <w:sz w:val="36"/>
          <w:highlight w:val="none"/>
        </w:rPr>
        <w:t>招标</w:t>
      </w:r>
      <w:r>
        <w:rPr>
          <w:rFonts w:asciiTheme="minorEastAsia" w:hAnsiTheme="minorEastAsia" w:eastAsiaTheme="minorEastAsia"/>
          <w:b/>
          <w:color w:val="auto"/>
          <w:sz w:val="36"/>
          <w:highlight w:val="none"/>
        </w:rPr>
        <w:t>服务费承诺书</w:t>
      </w:r>
    </w:p>
    <w:p w14:paraId="6912F981">
      <w:pPr>
        <w:spacing w:line="520" w:lineRule="exact"/>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招标编号：</w:t>
      </w:r>
    </w:p>
    <w:p w14:paraId="17FAAD85">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致：江苏海外集团国际工程咨询有限公司</w:t>
      </w:r>
    </w:p>
    <w:p w14:paraId="06DF9120">
      <w:pPr>
        <w:spacing w:line="520" w:lineRule="exact"/>
        <w:ind w:firstLine="576"/>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我方在贵司组织的</w:t>
      </w:r>
      <w:r>
        <w:rPr>
          <w:rFonts w:hint="eastAsia" w:asciiTheme="minorEastAsia" w:hAnsiTheme="minorEastAsia" w:eastAsiaTheme="minorEastAsia"/>
          <w:i/>
          <w:color w:val="auto"/>
          <w:sz w:val="24"/>
          <w:szCs w:val="24"/>
          <w:highlight w:val="none"/>
          <w:u w:val="single"/>
        </w:rPr>
        <w:t>（业主及项目名称）</w:t>
      </w:r>
      <w:r>
        <w:rPr>
          <w:rFonts w:hint="eastAsia" w:asciiTheme="minorEastAsia" w:hAnsiTheme="minorEastAsia" w:eastAsiaTheme="minorEastAsia"/>
          <w:color w:val="auto"/>
          <w:sz w:val="24"/>
          <w:szCs w:val="24"/>
          <w:highlight w:val="none"/>
        </w:rPr>
        <w:t>项目，</w:t>
      </w:r>
      <w:r>
        <w:rPr>
          <w:rFonts w:hint="eastAsia" w:asciiTheme="minorEastAsia" w:hAnsiTheme="minorEastAsia" w:eastAsiaTheme="minorEastAsia"/>
          <w:i/>
          <w:color w:val="auto"/>
          <w:sz w:val="24"/>
          <w:szCs w:val="24"/>
          <w:highlight w:val="none"/>
          <w:u w:val="single"/>
        </w:rPr>
        <w:t>（货物名称）</w:t>
      </w:r>
      <w:r>
        <w:rPr>
          <w:rFonts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rPr>
        <w:t>的招标中如有幸获中标，我方保证：在收到中标通知书后</w:t>
      </w:r>
      <w:r>
        <w:rPr>
          <w:rFonts w:asciiTheme="minorEastAsia" w:hAnsiTheme="minorEastAsia" w:eastAsiaTheme="minorEastAsia"/>
          <w:color w:val="auto"/>
          <w:sz w:val="24"/>
          <w:szCs w:val="24"/>
          <w:highlight w:val="none"/>
        </w:rPr>
        <w:t>30天内，按照中标通知书金额的5‰向招标代理机构一次性交付招标服务费。</w:t>
      </w:r>
    </w:p>
    <w:p w14:paraId="49CF28E1">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 xml:space="preserve">    如我方收到贵司通知后，五个工作日内不能履行承诺，贵司有权按照国际惯例，向我方追索，所引起的法律和经济责任，由我方承担。本承诺书，双方约定按照中华人民共和国的法律进行解释，一切争端引起的仲裁由中国国际经济贸易仲裁委员会（CIETAC）按其仲裁规则和程序在中国上海进行。本承诺在我方付清以上</w:t>
      </w:r>
      <w:r>
        <w:rPr>
          <w:rFonts w:hint="eastAsia" w:asciiTheme="minorEastAsia" w:hAnsiTheme="minorEastAsia" w:eastAsiaTheme="minorEastAsia"/>
          <w:color w:val="auto"/>
          <w:sz w:val="24"/>
          <w:szCs w:val="24"/>
          <w:highlight w:val="none"/>
        </w:rPr>
        <w:t>招标</w:t>
      </w:r>
      <w:r>
        <w:rPr>
          <w:rFonts w:asciiTheme="minorEastAsia" w:hAnsiTheme="minorEastAsia" w:eastAsiaTheme="minorEastAsia"/>
          <w:color w:val="auto"/>
          <w:sz w:val="24"/>
          <w:szCs w:val="24"/>
          <w:highlight w:val="none"/>
        </w:rPr>
        <w:t>服务费后，自动废止。</w:t>
      </w:r>
    </w:p>
    <w:p w14:paraId="2B6018AE">
      <w:pPr>
        <w:spacing w:line="520" w:lineRule="exact"/>
        <w:rPr>
          <w:rFonts w:asciiTheme="minorEastAsia" w:hAnsiTheme="minorEastAsia" w:eastAsiaTheme="minorEastAsia"/>
          <w:color w:val="auto"/>
          <w:sz w:val="24"/>
          <w:szCs w:val="24"/>
          <w:highlight w:val="none"/>
        </w:rPr>
      </w:pPr>
    </w:p>
    <w:p w14:paraId="209F95FE">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投标人名称：</w:t>
      </w:r>
    </w:p>
    <w:p w14:paraId="2549EF64">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投标人（章）：</w:t>
      </w:r>
    </w:p>
    <w:p w14:paraId="2071990F">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法定代表人（签字）：</w:t>
      </w:r>
    </w:p>
    <w:p w14:paraId="4109A419">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授权代表（签字）：</w:t>
      </w:r>
    </w:p>
    <w:p w14:paraId="29E93025">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地址：                                     邮编：</w:t>
      </w:r>
    </w:p>
    <w:p w14:paraId="71E8C5D8">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电话：                                     传真：</w:t>
      </w:r>
    </w:p>
    <w:p w14:paraId="09FAD779">
      <w:pPr>
        <w:spacing w:line="520" w:lineRule="exact"/>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电子信箱：</w:t>
      </w:r>
    </w:p>
    <w:p w14:paraId="7728F4ED">
      <w:pPr>
        <w:spacing w:line="520" w:lineRule="exact"/>
        <w:rPr>
          <w:rFonts w:asciiTheme="minorEastAsia" w:hAnsiTheme="minorEastAsia" w:eastAsiaTheme="minorEastAsia"/>
          <w:color w:val="auto"/>
          <w:sz w:val="24"/>
          <w:szCs w:val="24"/>
          <w:highlight w:val="none"/>
        </w:rPr>
      </w:pPr>
    </w:p>
    <w:sectPr>
      <w:headerReference r:id="rId6" w:type="default"/>
      <w:footerReference r:id="rId7"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隶书">
    <w:panose1 w:val="0201050906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445964"/>
    </w:sdtPr>
    <w:sdtContent>
      <w:p w14:paraId="1F5BB83F">
        <w:pPr>
          <w:pStyle w:val="13"/>
          <w:jc w:val="center"/>
        </w:pPr>
        <w:r>
          <w:fldChar w:fldCharType="begin"/>
        </w:r>
        <w:r>
          <w:instrText xml:space="preserve">PAGE   \* MERGEFORMAT</w:instrText>
        </w:r>
        <w:r>
          <w:fldChar w:fldCharType="separate"/>
        </w:r>
        <w:r>
          <w:rPr>
            <w:lang w:val="zh-CN"/>
          </w:rPr>
          <w:t>25</w:t>
        </w:r>
        <w:r>
          <w:fldChar w:fldCharType="end"/>
        </w:r>
      </w:p>
    </w:sdtContent>
  </w:sdt>
  <w:p w14:paraId="1CB8110C">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7052071"/>
    </w:sdtPr>
    <w:sdtContent>
      <w:p w14:paraId="6D83395F">
        <w:pPr>
          <w:pStyle w:val="13"/>
          <w:jc w:val="center"/>
        </w:pPr>
        <w:r>
          <w:fldChar w:fldCharType="begin"/>
        </w:r>
        <w:r>
          <w:instrText xml:space="preserve">PAGE   \* MERGEFORMAT</w:instrText>
        </w:r>
        <w:r>
          <w:fldChar w:fldCharType="separate"/>
        </w:r>
        <w:r>
          <w:rPr>
            <w:lang w:val="zh-CN"/>
          </w:rPr>
          <w:t>9</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5517D">
    <w:pPr>
      <w:pStyle w:val="14"/>
      <w:jc w:val="both"/>
      <w:rPr>
        <w:rFonts w:asciiTheme="minorEastAsia" w:hAnsiTheme="minorEastAsia" w:eastAsiaTheme="minorEastAsia"/>
        <w:bCs/>
        <w:sz w:val="15"/>
        <w:szCs w:val="15"/>
      </w:rPr>
    </w:pPr>
    <w:r>
      <w:rPr>
        <w:rFonts w:asciiTheme="minorEastAsia" w:hAnsiTheme="minorEastAsia" w:eastAsiaTheme="minorEastAsia"/>
        <w:bCs/>
        <w:sz w:val="24"/>
        <w:szCs w:val="15"/>
      </w:rPr>
      <w:t>江苏海外集团国际工程咨询有限公司</w:t>
    </w:r>
    <w:r>
      <w:rPr>
        <w:rFonts w:hint="eastAsia" w:asciiTheme="minorEastAsia" w:hAnsiTheme="minorEastAsia" w:eastAsiaTheme="minorEastAsia"/>
        <w:bCs/>
        <w:sz w:val="24"/>
        <w:szCs w:val="15"/>
      </w:rPr>
      <w:t xml:space="preserve"> </w:t>
    </w:r>
    <w:r>
      <w:rPr>
        <w:rFonts w:asciiTheme="minorEastAsia" w:hAnsiTheme="minorEastAsia" w:eastAsiaTheme="minorEastAsia"/>
        <w:bCs/>
        <w:sz w:val="24"/>
        <w:szCs w:val="15"/>
      </w:rPr>
      <w:t xml:space="preserve">                            </w:t>
    </w:r>
    <w:r>
      <w:rPr>
        <w:rFonts w:hint="eastAsia" w:asciiTheme="minorEastAsia" w:hAnsiTheme="minorEastAsia" w:eastAsiaTheme="minorEastAsia"/>
        <w:bCs/>
        <w:sz w:val="24"/>
        <w:szCs w:val="15"/>
      </w:rPr>
      <w:t xml:space="preserve">            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784B8">
    <w:pPr>
      <w:pStyle w:val="14"/>
    </w:pPr>
  </w:p>
  <w:p w14:paraId="0DDB4962">
    <w:pPr>
      <w:pStyle w:val="14"/>
      <w:rPr>
        <w:rFonts w:ascii="宋体" w:hAnsi="宋体"/>
        <w:bCs/>
        <w:sz w:val="24"/>
        <w:szCs w:val="24"/>
      </w:rPr>
    </w:pPr>
    <w:r>
      <w:rPr>
        <w:rFonts w:ascii="宋体" w:hAnsi="宋体"/>
        <w:bCs/>
        <w:sz w:val="24"/>
        <w:szCs w:val="24"/>
      </w:rPr>
      <w:t>江苏海外集团国际工程咨询有限公司</w:t>
    </w:r>
    <w:r>
      <w:rPr>
        <w:rFonts w:hint="eastAsia" w:ascii="宋体" w:hAnsi="宋体"/>
        <w:bCs/>
        <w:sz w:val="24"/>
        <w:szCs w:val="24"/>
      </w:rPr>
      <w:t xml:space="preserve"> </w:t>
    </w:r>
    <w:r>
      <w:rPr>
        <w:rFonts w:ascii="宋体" w:hAnsi="宋体"/>
        <w:bCs/>
        <w:sz w:val="24"/>
        <w:szCs w:val="24"/>
      </w:rPr>
      <w:t xml:space="preserve">                            </w:t>
    </w:r>
    <w:r>
      <w:rPr>
        <w:rFonts w:hint="eastAsia" w:ascii="宋体" w:hAnsi="宋体"/>
        <w:bCs/>
        <w:sz w:val="24"/>
        <w:szCs w:val="24"/>
      </w:rPr>
      <w:t>招标文件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B0548">
    <w:pPr>
      <w:pStyle w:val="14"/>
    </w:pPr>
  </w:p>
  <w:p w14:paraId="618667F5">
    <w:pPr>
      <w:pStyle w:val="14"/>
      <w:rPr>
        <w:rFonts w:ascii="宋体" w:hAnsi="宋体"/>
        <w:bCs/>
        <w:sz w:val="24"/>
        <w:szCs w:val="24"/>
      </w:rPr>
    </w:pPr>
    <w:r>
      <w:rPr>
        <w:rFonts w:ascii="宋体" w:hAnsi="宋体"/>
        <w:bCs/>
        <w:sz w:val="24"/>
        <w:szCs w:val="24"/>
      </w:rPr>
      <w:t>江苏海外集团国际工程咨询有限公司</w:t>
    </w:r>
    <w:r>
      <w:rPr>
        <w:rFonts w:hint="eastAsia" w:ascii="宋体" w:hAnsi="宋体"/>
        <w:bCs/>
        <w:sz w:val="24"/>
        <w:szCs w:val="24"/>
      </w:rPr>
      <w:t xml:space="preserve"> </w:t>
    </w:r>
    <w:r>
      <w:rPr>
        <w:rFonts w:ascii="宋体" w:hAnsi="宋体"/>
        <w:bCs/>
        <w:sz w:val="24"/>
        <w:szCs w:val="24"/>
      </w:rPr>
      <w:t xml:space="preserve">           </w:t>
    </w:r>
    <w:r>
      <w:rPr>
        <w:rFonts w:hint="eastAsia" w:ascii="宋体" w:hAnsi="宋体"/>
        <w:bCs/>
        <w:sz w:val="24"/>
        <w:szCs w:val="24"/>
      </w:rPr>
      <w:t xml:space="preserve">            </w:t>
    </w:r>
    <w:r>
      <w:rPr>
        <w:rFonts w:ascii="宋体" w:hAnsi="宋体"/>
        <w:bCs/>
        <w:sz w:val="24"/>
        <w:szCs w:val="24"/>
      </w:rPr>
      <w:t xml:space="preserve">     </w:t>
    </w:r>
    <w:r>
      <w:rPr>
        <w:rFonts w:hint="eastAsia" w:ascii="宋体" w:hAnsi="宋体"/>
        <w:bCs/>
        <w:sz w:val="24"/>
        <w:szCs w:val="24"/>
      </w:rPr>
      <w:t>招标文件</w:t>
    </w:r>
  </w:p>
  <w:p w14:paraId="7C4F02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7A3F3B"/>
    <w:multiLevelType w:val="multilevel"/>
    <w:tmpl w:val="2A7A3F3B"/>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E934452"/>
    <w:multiLevelType w:val="multilevel"/>
    <w:tmpl w:val="3E93445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8C689C3"/>
    <w:multiLevelType w:val="singleLevel"/>
    <w:tmpl w:val="58C689C3"/>
    <w:lvl w:ilvl="0" w:tentative="0">
      <w:start w:val="2"/>
      <w:numFmt w:val="chineseCounting"/>
      <w:suff w:val="nothing"/>
      <w:lvlText w:val="%1、"/>
      <w:lvlJc w:val="left"/>
      <w:rPr>
        <w:rFonts w:hint="eastAsia"/>
      </w:rPr>
    </w:lvl>
  </w:abstractNum>
  <w:abstractNum w:abstractNumId="3">
    <w:nsid w:val="594F763B"/>
    <w:multiLevelType w:val="multilevel"/>
    <w:tmpl w:val="594F763B"/>
    <w:lvl w:ilvl="0" w:tentative="0">
      <w:start w:val="5"/>
      <w:numFmt w:val="chineseCountingThousand"/>
      <w:pStyle w:val="2"/>
      <w:suff w:val="nothing"/>
      <w:lvlText w:val="第%1章"/>
      <w:lvlJc w:val="left"/>
      <w:pPr>
        <w:ind w:left="0" w:firstLine="0"/>
      </w:pPr>
      <w:rPr>
        <w:rFonts w:hint="eastAsia"/>
      </w:rPr>
    </w:lvl>
    <w:lvl w:ilvl="1" w:tentative="0">
      <w:start w:val="1"/>
      <w:numFmt w:val="none"/>
      <w:pStyle w:val="3"/>
      <w:suff w:val="nothing"/>
      <w:lvlText w:val=""/>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4">
    <w:nsid w:val="642664F4"/>
    <w:multiLevelType w:val="multilevel"/>
    <w:tmpl w:val="642664F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7547662F"/>
    <w:multiLevelType w:val="multilevel"/>
    <w:tmpl w:val="7547662F"/>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0YWVkYjRlOTA2ZjI3NzVkMjc4NmE4NzdhZjJjYzcifQ=="/>
  </w:docVars>
  <w:rsids>
    <w:rsidRoot w:val="00D0788F"/>
    <w:rsid w:val="00000A15"/>
    <w:rsid w:val="00003B45"/>
    <w:rsid w:val="00006B6F"/>
    <w:rsid w:val="000201E3"/>
    <w:rsid w:val="0003378F"/>
    <w:rsid w:val="00046EE3"/>
    <w:rsid w:val="00050E94"/>
    <w:rsid w:val="00052FA6"/>
    <w:rsid w:val="00056F0A"/>
    <w:rsid w:val="00065419"/>
    <w:rsid w:val="00073932"/>
    <w:rsid w:val="000829A4"/>
    <w:rsid w:val="00083AC6"/>
    <w:rsid w:val="000852CF"/>
    <w:rsid w:val="00085B8A"/>
    <w:rsid w:val="00090442"/>
    <w:rsid w:val="00093D63"/>
    <w:rsid w:val="00096F69"/>
    <w:rsid w:val="000A09E8"/>
    <w:rsid w:val="000A49A0"/>
    <w:rsid w:val="000A7B14"/>
    <w:rsid w:val="000B73D6"/>
    <w:rsid w:val="000F07A6"/>
    <w:rsid w:val="001005FB"/>
    <w:rsid w:val="00112053"/>
    <w:rsid w:val="0011767F"/>
    <w:rsid w:val="001300AD"/>
    <w:rsid w:val="00134CC8"/>
    <w:rsid w:val="001353BB"/>
    <w:rsid w:val="00140D5B"/>
    <w:rsid w:val="00147805"/>
    <w:rsid w:val="001635AA"/>
    <w:rsid w:val="00171546"/>
    <w:rsid w:val="00183985"/>
    <w:rsid w:val="001D080E"/>
    <w:rsid w:val="001D2B3B"/>
    <w:rsid w:val="001D48CE"/>
    <w:rsid w:val="001D4AE9"/>
    <w:rsid w:val="001F5EEF"/>
    <w:rsid w:val="002011A1"/>
    <w:rsid w:val="00222038"/>
    <w:rsid w:val="0023146F"/>
    <w:rsid w:val="00232707"/>
    <w:rsid w:val="00240ABC"/>
    <w:rsid w:val="002447D3"/>
    <w:rsid w:val="002645F4"/>
    <w:rsid w:val="002846E9"/>
    <w:rsid w:val="002A2689"/>
    <w:rsid w:val="002C4E7A"/>
    <w:rsid w:val="002C7E12"/>
    <w:rsid w:val="002D572C"/>
    <w:rsid w:val="002E08DC"/>
    <w:rsid w:val="002E2993"/>
    <w:rsid w:val="002E4180"/>
    <w:rsid w:val="002E6DD5"/>
    <w:rsid w:val="002E72F5"/>
    <w:rsid w:val="002F0F2A"/>
    <w:rsid w:val="002F4387"/>
    <w:rsid w:val="00305C77"/>
    <w:rsid w:val="00306E7E"/>
    <w:rsid w:val="00314DA8"/>
    <w:rsid w:val="00316505"/>
    <w:rsid w:val="0031652B"/>
    <w:rsid w:val="00330B01"/>
    <w:rsid w:val="00332A5B"/>
    <w:rsid w:val="003342B4"/>
    <w:rsid w:val="00336FF6"/>
    <w:rsid w:val="00344E4F"/>
    <w:rsid w:val="003470C9"/>
    <w:rsid w:val="003630DC"/>
    <w:rsid w:val="00365667"/>
    <w:rsid w:val="00370593"/>
    <w:rsid w:val="00371F58"/>
    <w:rsid w:val="00375744"/>
    <w:rsid w:val="00386007"/>
    <w:rsid w:val="00387152"/>
    <w:rsid w:val="003A4F5F"/>
    <w:rsid w:val="003D0832"/>
    <w:rsid w:val="003E45CB"/>
    <w:rsid w:val="003F3EAB"/>
    <w:rsid w:val="00403FC6"/>
    <w:rsid w:val="00414BEC"/>
    <w:rsid w:val="00422A66"/>
    <w:rsid w:val="00425214"/>
    <w:rsid w:val="00431644"/>
    <w:rsid w:val="00432EFE"/>
    <w:rsid w:val="0044693F"/>
    <w:rsid w:val="00465FD2"/>
    <w:rsid w:val="00473836"/>
    <w:rsid w:val="004754F4"/>
    <w:rsid w:val="0049147E"/>
    <w:rsid w:val="004A5BC8"/>
    <w:rsid w:val="004B199B"/>
    <w:rsid w:val="004C012C"/>
    <w:rsid w:val="004F1DFA"/>
    <w:rsid w:val="00510BE7"/>
    <w:rsid w:val="005220FB"/>
    <w:rsid w:val="0053597A"/>
    <w:rsid w:val="00541798"/>
    <w:rsid w:val="00544F77"/>
    <w:rsid w:val="00546226"/>
    <w:rsid w:val="00571D94"/>
    <w:rsid w:val="00580A58"/>
    <w:rsid w:val="00596467"/>
    <w:rsid w:val="005A4775"/>
    <w:rsid w:val="005A6FD4"/>
    <w:rsid w:val="005C2704"/>
    <w:rsid w:val="005C6741"/>
    <w:rsid w:val="005F676D"/>
    <w:rsid w:val="006035D0"/>
    <w:rsid w:val="006046F0"/>
    <w:rsid w:val="00604921"/>
    <w:rsid w:val="00622621"/>
    <w:rsid w:val="0065410B"/>
    <w:rsid w:val="006607BA"/>
    <w:rsid w:val="00694B42"/>
    <w:rsid w:val="0069635E"/>
    <w:rsid w:val="006B56C6"/>
    <w:rsid w:val="006B6EDA"/>
    <w:rsid w:val="006D0D52"/>
    <w:rsid w:val="006F0138"/>
    <w:rsid w:val="006F2FAC"/>
    <w:rsid w:val="00731A7D"/>
    <w:rsid w:val="00733915"/>
    <w:rsid w:val="00753E93"/>
    <w:rsid w:val="00761C7E"/>
    <w:rsid w:val="007838AB"/>
    <w:rsid w:val="007A2BA6"/>
    <w:rsid w:val="007A5077"/>
    <w:rsid w:val="007A744A"/>
    <w:rsid w:val="007C4BF1"/>
    <w:rsid w:val="00806091"/>
    <w:rsid w:val="008075A9"/>
    <w:rsid w:val="008174A1"/>
    <w:rsid w:val="008268D8"/>
    <w:rsid w:val="00833E29"/>
    <w:rsid w:val="008643C3"/>
    <w:rsid w:val="008710FB"/>
    <w:rsid w:val="008739EE"/>
    <w:rsid w:val="00877FB6"/>
    <w:rsid w:val="008851B5"/>
    <w:rsid w:val="008B3F49"/>
    <w:rsid w:val="008B7CD0"/>
    <w:rsid w:val="008C4615"/>
    <w:rsid w:val="008C521F"/>
    <w:rsid w:val="008C7CD1"/>
    <w:rsid w:val="008D2829"/>
    <w:rsid w:val="00900CB2"/>
    <w:rsid w:val="00911A5B"/>
    <w:rsid w:val="009135DE"/>
    <w:rsid w:val="009149F3"/>
    <w:rsid w:val="00916440"/>
    <w:rsid w:val="00922133"/>
    <w:rsid w:val="00923616"/>
    <w:rsid w:val="0094192A"/>
    <w:rsid w:val="00945F6A"/>
    <w:rsid w:val="00950452"/>
    <w:rsid w:val="009516D8"/>
    <w:rsid w:val="00965ABF"/>
    <w:rsid w:val="00997F3A"/>
    <w:rsid w:val="009C2B8C"/>
    <w:rsid w:val="009C3303"/>
    <w:rsid w:val="009D72C1"/>
    <w:rsid w:val="009E624B"/>
    <w:rsid w:val="009F7455"/>
    <w:rsid w:val="009F7B45"/>
    <w:rsid w:val="00A108F7"/>
    <w:rsid w:val="00A21443"/>
    <w:rsid w:val="00A27266"/>
    <w:rsid w:val="00A37CD5"/>
    <w:rsid w:val="00A37FCB"/>
    <w:rsid w:val="00A44C61"/>
    <w:rsid w:val="00A455AD"/>
    <w:rsid w:val="00A4774D"/>
    <w:rsid w:val="00A540E7"/>
    <w:rsid w:val="00A64EAA"/>
    <w:rsid w:val="00A75D87"/>
    <w:rsid w:val="00A7750B"/>
    <w:rsid w:val="00A8408C"/>
    <w:rsid w:val="00A844F6"/>
    <w:rsid w:val="00AB44FA"/>
    <w:rsid w:val="00AC23E2"/>
    <w:rsid w:val="00AC2837"/>
    <w:rsid w:val="00AC5C9D"/>
    <w:rsid w:val="00AE7C2A"/>
    <w:rsid w:val="00AE7FBF"/>
    <w:rsid w:val="00AF29AA"/>
    <w:rsid w:val="00AF5775"/>
    <w:rsid w:val="00B01630"/>
    <w:rsid w:val="00B04C67"/>
    <w:rsid w:val="00B0735B"/>
    <w:rsid w:val="00B1194C"/>
    <w:rsid w:val="00B354A4"/>
    <w:rsid w:val="00B431CE"/>
    <w:rsid w:val="00B50A9F"/>
    <w:rsid w:val="00B50CCB"/>
    <w:rsid w:val="00B51FB5"/>
    <w:rsid w:val="00B87DA2"/>
    <w:rsid w:val="00B95268"/>
    <w:rsid w:val="00B95B7E"/>
    <w:rsid w:val="00BA54C7"/>
    <w:rsid w:val="00BC4A23"/>
    <w:rsid w:val="00BC66FA"/>
    <w:rsid w:val="00BD22EA"/>
    <w:rsid w:val="00BE6DD4"/>
    <w:rsid w:val="00C02063"/>
    <w:rsid w:val="00C05291"/>
    <w:rsid w:val="00C1253E"/>
    <w:rsid w:val="00C13181"/>
    <w:rsid w:val="00C21ED4"/>
    <w:rsid w:val="00C270D3"/>
    <w:rsid w:val="00C36B74"/>
    <w:rsid w:val="00C36D64"/>
    <w:rsid w:val="00C37BD5"/>
    <w:rsid w:val="00C60DD0"/>
    <w:rsid w:val="00C731F8"/>
    <w:rsid w:val="00C73271"/>
    <w:rsid w:val="00C9355C"/>
    <w:rsid w:val="00CA0A9A"/>
    <w:rsid w:val="00CB40EC"/>
    <w:rsid w:val="00D0788F"/>
    <w:rsid w:val="00D202FF"/>
    <w:rsid w:val="00D22E40"/>
    <w:rsid w:val="00D46C5E"/>
    <w:rsid w:val="00D50F51"/>
    <w:rsid w:val="00D5267D"/>
    <w:rsid w:val="00D56655"/>
    <w:rsid w:val="00D67EF2"/>
    <w:rsid w:val="00D93FF6"/>
    <w:rsid w:val="00DA165B"/>
    <w:rsid w:val="00DA3837"/>
    <w:rsid w:val="00DA6554"/>
    <w:rsid w:val="00DA7F2A"/>
    <w:rsid w:val="00DD7218"/>
    <w:rsid w:val="00DF13B6"/>
    <w:rsid w:val="00DF7D96"/>
    <w:rsid w:val="00E00B73"/>
    <w:rsid w:val="00E017E4"/>
    <w:rsid w:val="00E03D49"/>
    <w:rsid w:val="00E054BE"/>
    <w:rsid w:val="00E308E8"/>
    <w:rsid w:val="00E42794"/>
    <w:rsid w:val="00E601E0"/>
    <w:rsid w:val="00E67C5F"/>
    <w:rsid w:val="00E74462"/>
    <w:rsid w:val="00E7505B"/>
    <w:rsid w:val="00E816EB"/>
    <w:rsid w:val="00EA2CAF"/>
    <w:rsid w:val="00EA3D57"/>
    <w:rsid w:val="00EB5CC3"/>
    <w:rsid w:val="00EC1172"/>
    <w:rsid w:val="00EF03D9"/>
    <w:rsid w:val="00EF7950"/>
    <w:rsid w:val="00F035CB"/>
    <w:rsid w:val="00F1312A"/>
    <w:rsid w:val="00F159BE"/>
    <w:rsid w:val="00F21488"/>
    <w:rsid w:val="00F267CD"/>
    <w:rsid w:val="00F7294E"/>
    <w:rsid w:val="00F77CAE"/>
    <w:rsid w:val="00F814E5"/>
    <w:rsid w:val="00F87D46"/>
    <w:rsid w:val="00F95F95"/>
    <w:rsid w:val="00FB7789"/>
    <w:rsid w:val="00FD4362"/>
    <w:rsid w:val="00FF0DF7"/>
    <w:rsid w:val="04041965"/>
    <w:rsid w:val="047C3A8C"/>
    <w:rsid w:val="06022CF0"/>
    <w:rsid w:val="0A222B49"/>
    <w:rsid w:val="0B8213C1"/>
    <w:rsid w:val="0CE23A25"/>
    <w:rsid w:val="10AF0EAA"/>
    <w:rsid w:val="118118C0"/>
    <w:rsid w:val="142948E1"/>
    <w:rsid w:val="15BD33C8"/>
    <w:rsid w:val="163A1E4F"/>
    <w:rsid w:val="189F1804"/>
    <w:rsid w:val="1BB43819"/>
    <w:rsid w:val="1C9A61BB"/>
    <w:rsid w:val="1D976BF4"/>
    <w:rsid w:val="22565F1B"/>
    <w:rsid w:val="264A33EF"/>
    <w:rsid w:val="26C40222"/>
    <w:rsid w:val="26C92A7A"/>
    <w:rsid w:val="2D0F2944"/>
    <w:rsid w:val="2D29214C"/>
    <w:rsid w:val="2E2E1209"/>
    <w:rsid w:val="2EC35DF5"/>
    <w:rsid w:val="2EC70B9D"/>
    <w:rsid w:val="2F71029D"/>
    <w:rsid w:val="309A628C"/>
    <w:rsid w:val="30E9143C"/>
    <w:rsid w:val="326B6AE3"/>
    <w:rsid w:val="34C46423"/>
    <w:rsid w:val="38B6540A"/>
    <w:rsid w:val="3DBF1DAF"/>
    <w:rsid w:val="40997897"/>
    <w:rsid w:val="42013EAD"/>
    <w:rsid w:val="46380A1F"/>
    <w:rsid w:val="46FD5659"/>
    <w:rsid w:val="4AE47EF3"/>
    <w:rsid w:val="4B077357"/>
    <w:rsid w:val="4B132198"/>
    <w:rsid w:val="4B294DDA"/>
    <w:rsid w:val="4F697F40"/>
    <w:rsid w:val="5474356A"/>
    <w:rsid w:val="5527238A"/>
    <w:rsid w:val="564930FE"/>
    <w:rsid w:val="62354AB8"/>
    <w:rsid w:val="64695871"/>
    <w:rsid w:val="65B03CD6"/>
    <w:rsid w:val="6E3B6A4F"/>
    <w:rsid w:val="6E9817AB"/>
    <w:rsid w:val="6FF74601"/>
    <w:rsid w:val="70F57C8D"/>
    <w:rsid w:val="71CD3535"/>
    <w:rsid w:val="73F27BAF"/>
    <w:rsid w:val="79112FBD"/>
    <w:rsid w:val="79AE4579"/>
    <w:rsid w:val="7A7E3F4B"/>
    <w:rsid w:val="7E061359"/>
    <w:rsid w:val="7E4D1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5"/>
    <w:autoRedefine/>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26"/>
    <w:autoRedefine/>
    <w:semiHidden/>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autoRedefine/>
    <w:semiHidden/>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28"/>
    <w:semiHidden/>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9"/>
    <w:autoRedefine/>
    <w:semiHidden/>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0"/>
    <w:autoRedefine/>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1"/>
    <w:autoRedefine/>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32"/>
    <w:autoRedefine/>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33"/>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ate"/>
    <w:basedOn w:val="1"/>
    <w:next w:val="1"/>
    <w:link w:val="23"/>
    <w:autoRedefine/>
    <w:qFormat/>
    <w:uiPriority w:val="0"/>
    <w:rPr>
      <w:rFonts w:ascii="隶书" w:eastAsia="隶书"/>
      <w:b/>
      <w:sz w:val="32"/>
    </w:rPr>
  </w:style>
  <w:style w:type="paragraph" w:styleId="12">
    <w:name w:val="Balloon Text"/>
    <w:basedOn w:val="1"/>
    <w:link w:val="35"/>
    <w:autoRedefine/>
    <w:semiHidden/>
    <w:unhideWhenUsed/>
    <w:qFormat/>
    <w:uiPriority w:val="99"/>
    <w:rPr>
      <w:sz w:val="18"/>
      <w:szCs w:val="18"/>
    </w:rPr>
  </w:style>
  <w:style w:type="paragraph" w:styleId="13">
    <w:name w:val="footer"/>
    <w:basedOn w:val="1"/>
    <w:link w:val="22"/>
    <w:autoRedefine/>
    <w:unhideWhenUsed/>
    <w:qFormat/>
    <w:uiPriority w:val="99"/>
    <w:pPr>
      <w:tabs>
        <w:tab w:val="center" w:pos="4153"/>
        <w:tab w:val="right" w:pos="8306"/>
      </w:tabs>
      <w:snapToGrid w:val="0"/>
      <w:jc w:val="left"/>
    </w:pPr>
    <w:rPr>
      <w:sz w:val="18"/>
      <w:szCs w:val="18"/>
    </w:rPr>
  </w:style>
  <w:style w:type="paragraph" w:styleId="14">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Normal (Web)"/>
    <w:basedOn w:val="1"/>
    <w:autoRedefine/>
    <w:qFormat/>
    <w:uiPriority w:val="0"/>
    <w:pPr>
      <w:widowControl/>
      <w:spacing w:before="100" w:after="100"/>
      <w:jc w:val="left"/>
    </w:pPr>
    <w:rPr>
      <w:rFonts w:ascii="Arial Unicode MS" w:hAnsi="Arial Unicode MS" w:eastAsia="Arial Unicode MS"/>
      <w:color w:val="000000"/>
      <w:kern w:val="0"/>
      <w:sz w:val="24"/>
    </w:rPr>
  </w:style>
  <w:style w:type="table" w:styleId="18">
    <w:name w:val="Table Grid"/>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autoRedefine/>
    <w:unhideWhenUsed/>
    <w:qFormat/>
    <w:uiPriority w:val="99"/>
    <w:rPr>
      <w:color w:val="0000FF" w:themeColor="hyperlink"/>
      <w:u w:val="single"/>
      <w14:textFill>
        <w14:solidFill>
          <w14:schemeClr w14:val="hlink"/>
        </w14:solidFill>
      </w14:textFill>
    </w:rPr>
  </w:style>
  <w:style w:type="character" w:customStyle="1" w:styleId="21">
    <w:name w:val="页眉 字符"/>
    <w:basedOn w:val="19"/>
    <w:link w:val="14"/>
    <w:autoRedefine/>
    <w:qFormat/>
    <w:uiPriority w:val="99"/>
    <w:rPr>
      <w:sz w:val="18"/>
      <w:szCs w:val="18"/>
    </w:rPr>
  </w:style>
  <w:style w:type="character" w:customStyle="1" w:styleId="22">
    <w:name w:val="页脚 字符"/>
    <w:basedOn w:val="19"/>
    <w:link w:val="13"/>
    <w:autoRedefine/>
    <w:qFormat/>
    <w:uiPriority w:val="99"/>
    <w:rPr>
      <w:sz w:val="18"/>
      <w:szCs w:val="18"/>
    </w:rPr>
  </w:style>
  <w:style w:type="character" w:customStyle="1" w:styleId="23">
    <w:name w:val="日期 字符"/>
    <w:basedOn w:val="19"/>
    <w:link w:val="11"/>
    <w:autoRedefine/>
    <w:qFormat/>
    <w:uiPriority w:val="0"/>
    <w:rPr>
      <w:rFonts w:ascii="隶书" w:hAnsi="Times New Roman" w:eastAsia="隶书" w:cs="Times New Roman"/>
      <w:b/>
      <w:sz w:val="32"/>
      <w:szCs w:val="20"/>
    </w:rPr>
  </w:style>
  <w:style w:type="paragraph" w:styleId="24">
    <w:name w:val="List Paragraph"/>
    <w:basedOn w:val="1"/>
    <w:autoRedefine/>
    <w:qFormat/>
    <w:uiPriority w:val="34"/>
    <w:pPr>
      <w:ind w:firstLine="420" w:firstLineChars="200"/>
    </w:pPr>
    <w:rPr>
      <w:rFonts w:ascii="Calibri" w:hAnsi="Calibri"/>
      <w:szCs w:val="22"/>
    </w:rPr>
  </w:style>
  <w:style w:type="character" w:customStyle="1" w:styleId="25">
    <w:name w:val="标题 1 字符"/>
    <w:basedOn w:val="19"/>
    <w:link w:val="2"/>
    <w:autoRedefine/>
    <w:qFormat/>
    <w:uiPriority w:val="9"/>
    <w:rPr>
      <w:rFonts w:ascii="Times New Roman" w:hAnsi="Times New Roman" w:eastAsia="宋体" w:cs="Times New Roman"/>
      <w:b/>
      <w:bCs/>
      <w:kern w:val="44"/>
      <w:sz w:val="44"/>
      <w:szCs w:val="44"/>
    </w:rPr>
  </w:style>
  <w:style w:type="character" w:customStyle="1" w:styleId="26">
    <w:name w:val="标题 2 字符"/>
    <w:basedOn w:val="19"/>
    <w:link w:val="3"/>
    <w:autoRedefine/>
    <w:semiHidden/>
    <w:qFormat/>
    <w:uiPriority w:val="9"/>
    <w:rPr>
      <w:rFonts w:asciiTheme="majorHAnsi" w:hAnsiTheme="majorHAnsi" w:eastAsiaTheme="majorEastAsia" w:cstheme="majorBidi"/>
      <w:b/>
      <w:bCs/>
      <w:sz w:val="32"/>
      <w:szCs w:val="32"/>
    </w:rPr>
  </w:style>
  <w:style w:type="character" w:customStyle="1" w:styleId="27">
    <w:name w:val="标题 3 字符"/>
    <w:basedOn w:val="19"/>
    <w:link w:val="4"/>
    <w:autoRedefine/>
    <w:semiHidden/>
    <w:qFormat/>
    <w:uiPriority w:val="9"/>
    <w:rPr>
      <w:rFonts w:ascii="Times New Roman" w:hAnsi="Times New Roman" w:eastAsia="宋体" w:cs="Times New Roman"/>
      <w:b/>
      <w:bCs/>
      <w:sz w:val="32"/>
      <w:szCs w:val="32"/>
    </w:rPr>
  </w:style>
  <w:style w:type="character" w:customStyle="1" w:styleId="28">
    <w:name w:val="标题 4 字符"/>
    <w:basedOn w:val="19"/>
    <w:link w:val="5"/>
    <w:autoRedefine/>
    <w:semiHidden/>
    <w:qFormat/>
    <w:uiPriority w:val="9"/>
    <w:rPr>
      <w:rFonts w:asciiTheme="majorHAnsi" w:hAnsiTheme="majorHAnsi" w:eastAsiaTheme="majorEastAsia" w:cstheme="majorBidi"/>
      <w:b/>
      <w:bCs/>
      <w:sz w:val="28"/>
      <w:szCs w:val="28"/>
    </w:rPr>
  </w:style>
  <w:style w:type="character" w:customStyle="1" w:styleId="29">
    <w:name w:val="标题 5 字符"/>
    <w:basedOn w:val="19"/>
    <w:link w:val="6"/>
    <w:autoRedefine/>
    <w:semiHidden/>
    <w:qFormat/>
    <w:uiPriority w:val="9"/>
    <w:rPr>
      <w:rFonts w:ascii="Times New Roman" w:hAnsi="Times New Roman" w:eastAsia="宋体" w:cs="Times New Roman"/>
      <w:b/>
      <w:bCs/>
      <w:sz w:val="28"/>
      <w:szCs w:val="28"/>
    </w:rPr>
  </w:style>
  <w:style w:type="character" w:customStyle="1" w:styleId="30">
    <w:name w:val="标题 6 字符"/>
    <w:basedOn w:val="19"/>
    <w:link w:val="7"/>
    <w:autoRedefine/>
    <w:semiHidden/>
    <w:qFormat/>
    <w:uiPriority w:val="9"/>
    <w:rPr>
      <w:rFonts w:asciiTheme="majorHAnsi" w:hAnsiTheme="majorHAnsi" w:eastAsiaTheme="majorEastAsia" w:cstheme="majorBidi"/>
      <w:b/>
      <w:bCs/>
      <w:sz w:val="24"/>
      <w:szCs w:val="24"/>
    </w:rPr>
  </w:style>
  <w:style w:type="character" w:customStyle="1" w:styleId="31">
    <w:name w:val="标题 7 字符"/>
    <w:basedOn w:val="19"/>
    <w:link w:val="8"/>
    <w:autoRedefine/>
    <w:semiHidden/>
    <w:qFormat/>
    <w:uiPriority w:val="9"/>
    <w:rPr>
      <w:rFonts w:ascii="Times New Roman" w:hAnsi="Times New Roman" w:eastAsia="宋体" w:cs="Times New Roman"/>
      <w:b/>
      <w:bCs/>
      <w:sz w:val="24"/>
      <w:szCs w:val="24"/>
    </w:rPr>
  </w:style>
  <w:style w:type="character" w:customStyle="1" w:styleId="32">
    <w:name w:val="标题 8 字符"/>
    <w:basedOn w:val="19"/>
    <w:link w:val="9"/>
    <w:autoRedefine/>
    <w:semiHidden/>
    <w:qFormat/>
    <w:uiPriority w:val="9"/>
    <w:rPr>
      <w:rFonts w:asciiTheme="majorHAnsi" w:hAnsiTheme="majorHAnsi" w:eastAsiaTheme="majorEastAsia" w:cstheme="majorBidi"/>
      <w:sz w:val="24"/>
      <w:szCs w:val="24"/>
    </w:rPr>
  </w:style>
  <w:style w:type="character" w:customStyle="1" w:styleId="33">
    <w:name w:val="标题 9 字符"/>
    <w:basedOn w:val="19"/>
    <w:link w:val="10"/>
    <w:autoRedefine/>
    <w:semiHidden/>
    <w:qFormat/>
    <w:uiPriority w:val="9"/>
    <w:rPr>
      <w:rFonts w:asciiTheme="majorHAnsi" w:hAnsiTheme="majorHAnsi" w:eastAsiaTheme="majorEastAsia" w:cstheme="majorBidi"/>
      <w:szCs w:val="21"/>
    </w:rPr>
  </w:style>
  <w:style w:type="character" w:styleId="34">
    <w:name w:val="Placeholder Text"/>
    <w:basedOn w:val="19"/>
    <w:autoRedefine/>
    <w:semiHidden/>
    <w:qFormat/>
    <w:uiPriority w:val="99"/>
    <w:rPr>
      <w:color w:val="808080"/>
    </w:rPr>
  </w:style>
  <w:style w:type="character" w:customStyle="1" w:styleId="35">
    <w:name w:val="批注框文本 字符"/>
    <w:basedOn w:val="19"/>
    <w:link w:val="12"/>
    <w:autoRedefine/>
    <w:semiHidden/>
    <w:qFormat/>
    <w:uiPriority w:val="99"/>
    <w:rPr>
      <w:rFonts w:ascii="Times New Roman" w:hAnsi="Times New Roman" w:eastAsia="宋体" w:cs="Times New Roman"/>
      <w:sz w:val="18"/>
      <w:szCs w:val="18"/>
    </w:rPr>
  </w:style>
  <w:style w:type="paragraph" w:customStyle="1" w:styleId="36">
    <w:name w:val="修订1"/>
    <w:autoRedefine/>
    <w:hidden/>
    <w:semiHidden/>
    <w:qFormat/>
    <w:uiPriority w:val="99"/>
    <w:rPr>
      <w:rFonts w:ascii="Times New Roman" w:hAnsi="Times New Roman" w:eastAsia="宋体" w:cs="Times New Roman"/>
      <w:kern w:val="2"/>
      <w:sz w:val="21"/>
      <w:lang w:val="en-US" w:eastAsia="zh-CN" w:bidi="ar-SA"/>
    </w:rPr>
  </w:style>
  <w:style w:type="paragraph" w:customStyle="1" w:styleId="37">
    <w:name w:val="修订2"/>
    <w:autoRedefine/>
    <w:hidden/>
    <w:semiHidden/>
    <w:qFormat/>
    <w:uiPriority w:val="99"/>
    <w:rPr>
      <w:rFonts w:ascii="Times New Roman" w:hAnsi="Times New Roman" w:eastAsia="宋体" w:cs="Times New Roman"/>
      <w:kern w:val="2"/>
      <w:sz w:val="21"/>
      <w:lang w:val="en-US" w:eastAsia="zh-CN" w:bidi="ar-SA"/>
    </w:rPr>
  </w:style>
  <w:style w:type="paragraph" w:customStyle="1" w:styleId="38">
    <w:name w:val="修订3"/>
    <w:autoRedefine/>
    <w:hidden/>
    <w:semiHidden/>
    <w:qFormat/>
    <w:uiPriority w:val="99"/>
    <w:rPr>
      <w:rFonts w:ascii="Times New Roman" w:hAnsi="Times New Roman" w:eastAsia="宋体" w:cs="Times New Roman"/>
      <w:kern w:val="2"/>
      <w:sz w:val="21"/>
      <w:lang w:val="en-US" w:eastAsia="zh-CN" w:bidi="ar-SA"/>
    </w:rPr>
  </w:style>
  <w:style w:type="paragraph" w:customStyle="1" w:styleId="39">
    <w:name w:val="修订4"/>
    <w:autoRedefine/>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53E7F-1CDC-4E97-9ADE-5CAA4FBE386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4316</Words>
  <Characters>4890</Characters>
  <Lines>79</Lines>
  <Paragraphs>22</Paragraphs>
  <TotalTime>17</TotalTime>
  <ScaleCrop>false</ScaleCrop>
  <LinksUpToDate>false</LinksUpToDate>
  <CharactersWithSpaces>5475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2020-01-17T06:05:00Z</dcterms:created>
  <dc:creator>杨思魁</dc:creator>
  <cp:lastModifiedBy>Admin</cp:lastModifiedBy>
  <cp:lastPrinted>2020-01-17T06:20:00Z</cp:lastPrinted>
  <dcterms:modified xsi:type="dcterms:W3CDTF">2025-11-10T07:36:18Z</dcterms:modified>
  <cp:revision>305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7EDEB05ECD71416FB9D4804B6218B5F3</vt:lpwstr>
  </property>
  <property fmtid="{D5CDD505-2E9C-101B-9397-08002B2CF9AE}" pid="4" name="KSOTemplateDocerSaveRecord">
    <vt:lpwstr>eyJoZGlkIjoiNjMwZjdhODYyOWMwYzM3YTIyZWVmZWE2MzVjOTY1NTciLCJ1c2VySWQiOiIyNTc4MzIwNzYifQ==</vt:lpwstr>
  </property>
</Properties>
</file>