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3"/>
        <w:widowControl/>
        <w:shd w:val="clear" w:color="auto" w:fill="FFFFFF"/>
        <w:spacing w:beforeAutospacing="0" w:afterAutospacing="0" w:line="405" w:lineRule="atLeast"/>
        <w:ind w:left="-105" w:leftChars="-50" w:right="-105" w:rightChars="-50"/>
        <w:jc w:val="center"/>
        <w:rPr>
          <w:rStyle w:val="12"/>
          <w:rFonts w:hint="default" w:cs="宋体"/>
          <w:b/>
          <w:shd w:val="clear" w:color="auto" w:fill="FFFFFF"/>
        </w:rPr>
      </w:pPr>
      <w:r>
        <w:rPr>
          <w:rStyle w:val="12"/>
          <w:b/>
        </w:rPr>
        <w:t>包头韵升科技发展有限公司烧结炉、成型压机、氢碎炉采购项目（重发）</w:t>
      </w:r>
      <w:r>
        <w:rPr>
          <w:rStyle w:val="12"/>
          <w:rFonts w:cs="宋体"/>
          <w:b/>
          <w:sz w:val="32"/>
          <w:szCs w:val="24"/>
          <w:shd w:val="clear" w:color="auto" w:fill="FFFFFF"/>
        </w:rPr>
        <w:t>更正公告</w:t>
      </w:r>
    </w:p>
    <w:p>
      <w:pPr>
        <w:pStyle w:val="8"/>
        <w:widowControl/>
        <w:shd w:val="clear" w:color="auto" w:fill="FFFFFF"/>
        <w:spacing w:before="156" w:beforeLines="50" w:beforeAutospacing="0" w:afterAutospacing="0" w:line="360" w:lineRule="exact"/>
        <w:jc w:val="both"/>
        <w:rPr>
          <w:rStyle w:val="12"/>
          <w:rFonts w:ascii="宋体" w:hAnsi="宋体" w:eastAsia="宋体" w:cs="宋体"/>
          <w:sz w:val="21"/>
          <w:szCs w:val="21"/>
          <w:shd w:val="clear" w:color="auto" w:fill="FFFFFF"/>
        </w:rPr>
      </w:pPr>
      <w:bookmarkStart w:id="0" w:name="OLE_LINK1"/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发布日期：2025年09月</w:t>
      </w:r>
      <w:r>
        <w:rPr>
          <w:rFonts w:ascii="宋体" w:hAnsi="宋体" w:eastAsia="宋体" w:cs="宋体"/>
          <w:sz w:val="21"/>
          <w:szCs w:val="21"/>
          <w:shd w:val="clear" w:color="auto" w:fill="FFFFFF"/>
        </w:rPr>
        <w:t>2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4日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20"/>
        <w:jc w:val="both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一、招标人名称：包头韵升科技发展有限公司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20"/>
        <w:jc w:val="both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二、项目名称：包头韵升科技发展有限公司烧结炉、成型压机、氢碎炉采购项目（重发）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20"/>
        <w:jc w:val="both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三、项目编号：0655-2540NIT2002T（重发）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20"/>
        <w:jc w:val="both"/>
        <w:outlineLvl w:val="0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四、原公告发布日期：2025年0</w:t>
      </w:r>
      <w:r>
        <w:rPr>
          <w:rFonts w:ascii="宋体" w:hAnsi="宋体" w:eastAsia="宋体" w:cs="宋体"/>
          <w:sz w:val="21"/>
          <w:szCs w:val="21"/>
          <w:shd w:val="clear" w:color="auto" w:fill="FFFFFF"/>
        </w:rPr>
        <w:t>9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月</w:t>
      </w:r>
      <w:r>
        <w:rPr>
          <w:rFonts w:ascii="宋体" w:hAnsi="宋体" w:eastAsia="宋体" w:cs="宋体"/>
          <w:sz w:val="21"/>
          <w:szCs w:val="21"/>
          <w:shd w:val="clear" w:color="auto" w:fill="FFFFFF"/>
        </w:rPr>
        <w:t>11</w:t>
      </w: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日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20"/>
        <w:jc w:val="both"/>
        <w:outlineLvl w:val="0"/>
        <w:rPr>
          <w:rFonts w:ascii="宋体" w:hAnsi="宋体" w:eastAsia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  <w:shd w:val="clear" w:color="auto" w:fill="FFFFFF"/>
        </w:rPr>
        <w:t>五、更正公告内容：</w:t>
      </w:r>
    </w:p>
    <w:p>
      <w:pPr>
        <w:spacing w:line="400" w:lineRule="exact"/>
        <w:ind w:right="42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原</w:t>
      </w:r>
      <w:r>
        <w:rPr>
          <w:rFonts w:hint="eastAsia" w:ascii="宋体" w:hAnsi="宋体" w:eastAsia="宋体" w:cs="宋体"/>
          <w:szCs w:val="21"/>
        </w:rPr>
        <w:t>标项二评分</w:t>
      </w:r>
      <w:r>
        <w:rPr>
          <w:rFonts w:ascii="宋体" w:hAnsi="宋体" w:eastAsia="宋体" w:cs="宋体"/>
          <w:szCs w:val="21"/>
        </w:rPr>
        <w:t>标准</w:t>
      </w:r>
    </w:p>
    <w:tbl>
      <w:tblPr>
        <w:tblStyle w:val="10"/>
        <w:tblW w:w="9735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69"/>
        <w:gridCol w:w="4111"/>
        <w:gridCol w:w="851"/>
        <w:gridCol w:w="70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评审内容</w:t>
            </w:r>
          </w:p>
        </w:tc>
        <w:tc>
          <w:tcPr>
            <w:tcW w:w="4111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评审标准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投标人1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投标人2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压机生产要求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上下缸额定压力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最大压制压力600KN。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需提供实物照片、测量记录、功能介绍等佐证。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压机适用成型密度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成型密度 3.8~4.3g/cm³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满足的得2分，不满足的，不得分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2.3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成型数量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1出1或1出多（1次称重，容积法喂料）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满足的得2分，不满足的，不得分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2.4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单模电耗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1出1或1出多（1次称重，容积法喂料）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满足的得2分，不满足的，不得分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2.5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脱模方式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平均耗电量≤0.15 度/模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满足的得5分，不满足的，不得分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2.6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称粉机结构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1、应力释放型、应力释放完成后在恒保压力下保护脱膜（5分）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2、气动、浮动保护脱模（1分）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2.7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称量精度及称量准确性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1、要求称重机构可实现快速拆卸，无工艺卫生清扫盲角；称粉机行走机构后方做封堵（防止粉料进入），称粉机底面需不导磁不锈钢201材质。（3分）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2、有软连接，清理不方便的（1分）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需提供实物照片及功能说明。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2.8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取向次数与退磁系统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每腔单重误差值：具体为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（一出一）单重范围200-500g,±1g,500-1000g，±1.5g； 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（一出多）单重范围200-500g，±1.5g； 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过筛后粉料称重准确性≥99%（称粉机称粉重量，测试100次，99次以上称重合格。）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成型后压坯重量偏差与设定值±1.5g，同一模压坯偏差小于2g。测试100次，99次以上称重合格。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需提供实测记录佐证。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满足的得5分，不满足的，不得分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2.9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压头重复定位精度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1、≤±0.01mm（5分）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2、＞0.01mm（1分）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2.10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称粉效率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平均称粉效率≥250g/7s；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2.11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冷却水温度在线监测/报警（同设备互锁）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1、有水制冷设备控制，冷却水温度控制范围10-35℃(5分)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2、其它冷却方式（1分）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2.12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称粉机量程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出多或一出一最大称粉重量为1.5kg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spacing w:line="400" w:lineRule="exact"/>
        <w:ind w:right="420" w:firstLine="420" w:firstLineChars="2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  <w:shd w:val="clear" w:color="auto" w:fill="FFFFFF"/>
        </w:rPr>
        <w:t>现</w:t>
      </w:r>
      <w:r>
        <w:rPr>
          <w:rFonts w:ascii="宋体" w:hAnsi="宋体" w:eastAsia="宋体" w:cs="宋体"/>
          <w:szCs w:val="21"/>
          <w:shd w:val="clear" w:color="auto" w:fill="FFFFFF"/>
        </w:rPr>
        <w:t>更改为</w:t>
      </w:r>
    </w:p>
    <w:tbl>
      <w:tblPr>
        <w:tblStyle w:val="10"/>
        <w:tblW w:w="9735" w:type="dxa"/>
        <w:tblInd w:w="-2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769"/>
        <w:gridCol w:w="4111"/>
        <w:gridCol w:w="851"/>
        <w:gridCol w:w="70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评审内容</w:t>
            </w:r>
          </w:p>
        </w:tc>
        <w:tc>
          <w:tcPr>
            <w:tcW w:w="4111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评审标准</w:t>
            </w:r>
          </w:p>
        </w:tc>
        <w:tc>
          <w:tcPr>
            <w:tcW w:w="851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分值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投标人1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投标人2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5880" w:type="dxa"/>
            <w:gridSpan w:val="2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压机生产要求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2.1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上下缸额定压力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最大压制压力600KN。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需提供实物照片、测量记录、功能介绍等佐证。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2.2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压机适用成型密度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成型密度 3.8~4.3g/cm³</w:t>
            </w:r>
          </w:p>
          <w:p>
            <w:pPr>
              <w:pStyle w:val="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满足的得2分，不满足的，不得分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bookmarkStart w:id="1" w:name="_GoBack"/>
            <w:r>
              <w:rPr>
                <w:rFonts w:hint="eastAsia" w:ascii="宋体" w:hAnsi="宋体" w:eastAsia="宋体" w:cs="宋体"/>
                <w:color w:val="auto"/>
              </w:rPr>
              <w:t>2.3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成型数量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1出1或1出多（1次称重，容积法喂料）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满足的得2分，不满足的，不得分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2.4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单模电耗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平均耗电量≤0.15 度/模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满足的得</w:t>
            </w:r>
            <w:r>
              <w:rPr>
                <w:rFonts w:ascii="宋体" w:hAnsi="宋体" w:eastAsia="宋体" w:cs="宋体"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</w:rPr>
              <w:t>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2.5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脱模方式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1、应力释放型、应力释放完成后在恒保压力下保护脱膜（5分）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2、气动、浮动保护脱模（1分）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2.6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称粉机结构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1、要求称重机构可实现快速拆卸，无工艺卫生清扫盲角；称粉机行走机构后方做封堵（防止粉料进入），称粉机底面需不导磁不锈钢201材质。（3分）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2、有软连接，清理不方便的（1分）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需提供实物照片及功能说明。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2.7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称量精度及称量准确性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每腔单重误差值：具体为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（一出一）单重范围200-500g,±1g,500-1000g，±1.5g； 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（一出多）单重范围200-500g，±1.5g； 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过筛后粉料称重准确性≥99%（称粉机称粉重量，测试100次，99次以上称重合格。）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成型后压坯重量偏差与设定值±1.5g，同一模压坯偏差小于2g。测试100次，99次以上称重合格。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需提供实测记录佐证。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满足的得</w:t>
            </w:r>
            <w:r>
              <w:rPr>
                <w:rFonts w:ascii="宋体" w:hAnsi="宋体" w:eastAsia="宋体" w:cs="宋体"/>
                <w:color w:val="auto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</w:rPr>
              <w:t>分，不满足的，不得分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ascii="宋体" w:hAnsi="宋体" w:eastAsia="宋体" w:cs="宋体"/>
                <w:color w:val="auto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2.8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取向次数与退磁系统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1、配置IGBT充退磁系统，压机取向具备 1次、2 次、3 次功能。(5分)</w:t>
            </w:r>
          </w:p>
          <w:p>
            <w:pPr>
              <w:pStyle w:val="4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2、单次充磁(1分)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需提供设备功能界面佐证。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2.9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压头重复定位精度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1、≤±0.01mm（5分）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2、＞0.01mm（1分）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2.10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称粉效率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平均称粉效率≥250g/7s；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3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2.11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冷却水温度在线监测/报警（同设备互锁）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1、有水制冷设备控制，冷却水温度控制范围10-35℃(5分)</w:t>
            </w:r>
          </w:p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2、其它冷却方式（1分）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5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2.12</w:t>
            </w:r>
          </w:p>
        </w:tc>
        <w:tc>
          <w:tcPr>
            <w:tcW w:w="176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称粉机量程</w:t>
            </w:r>
          </w:p>
        </w:tc>
        <w:tc>
          <w:tcPr>
            <w:tcW w:w="4111" w:type="dxa"/>
            <w:vAlign w:val="center"/>
          </w:tcPr>
          <w:p>
            <w:pPr>
              <w:pStyle w:val="4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出多或一出一最大称粉重量为1.5kg</w:t>
            </w: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2</w:t>
            </w:r>
          </w:p>
        </w:tc>
        <w:tc>
          <w:tcPr>
            <w:tcW w:w="708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360" w:lineRule="exact"/>
        <w:ind w:firstLine="420"/>
        <w:jc w:val="both"/>
        <w:rPr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其余内容无调整，特此公告。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六</w:t>
      </w:r>
      <w:r>
        <w:rPr>
          <w:rFonts w:ascii="宋体" w:hAnsi="宋体" w:eastAsia="宋体" w:cs="宋体"/>
          <w:color w:val="auto"/>
          <w:sz w:val="21"/>
          <w:szCs w:val="21"/>
          <w:shd w:val="clear" w:color="auto" w:fill="FFFFFF"/>
        </w:rPr>
        <w:t>、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联系方式：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招标人：包头韵升科技发展有限公司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地    址：内蒙古自治区包头市稀土开发区稀土路8号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联 系 人：崔经理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联系电话：13488524821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受理异议的联系人和联系方式：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联 系 人：严经理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联系电话：0574-27860026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2、招标代理机构名称：宁波市国际招标有限公司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地址：宁波市江北区环城北路西段207弄19号世茂茂悦商业中心1号楼八楼014室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联系人：章海波、郭爱、翁伟冬、严锋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电话：0574-87495260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传真：/</w:t>
      </w:r>
    </w:p>
    <w:p>
      <w:pPr>
        <w:pStyle w:val="8"/>
        <w:widowControl/>
        <w:shd w:val="clear" w:color="auto" w:fill="FFFFFF"/>
        <w:spacing w:beforeAutospacing="0" w:afterAutospacing="0" w:line="360" w:lineRule="exact"/>
        <w:ind w:firstLine="480"/>
        <w:jc w:val="both"/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color="auto" w:fill="FFFFFF"/>
        </w:rPr>
        <w:t>电子邮件：nbitc02@126.com</w:t>
      </w:r>
      <w:bookmarkEnd w:id="0"/>
    </w:p>
    <w:bookmarkEnd w:id="1"/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D43"/>
    <w:rsid w:val="00200232"/>
    <w:rsid w:val="00255CD6"/>
    <w:rsid w:val="002B3F07"/>
    <w:rsid w:val="00337301"/>
    <w:rsid w:val="00357E3F"/>
    <w:rsid w:val="00490AA2"/>
    <w:rsid w:val="004C4F33"/>
    <w:rsid w:val="00564F29"/>
    <w:rsid w:val="007F3D43"/>
    <w:rsid w:val="00802819"/>
    <w:rsid w:val="00844457"/>
    <w:rsid w:val="00844EA0"/>
    <w:rsid w:val="009057B8"/>
    <w:rsid w:val="00942263"/>
    <w:rsid w:val="00A90773"/>
    <w:rsid w:val="00AA2A37"/>
    <w:rsid w:val="00AF4EBD"/>
    <w:rsid w:val="00BD2A8A"/>
    <w:rsid w:val="00C3188E"/>
    <w:rsid w:val="00CA4415"/>
    <w:rsid w:val="00EA03BD"/>
    <w:rsid w:val="00EC779E"/>
    <w:rsid w:val="00EE5D26"/>
    <w:rsid w:val="014B4BB1"/>
    <w:rsid w:val="02605DF3"/>
    <w:rsid w:val="04FE3979"/>
    <w:rsid w:val="05490455"/>
    <w:rsid w:val="0B444D3D"/>
    <w:rsid w:val="0BA42774"/>
    <w:rsid w:val="165804A7"/>
    <w:rsid w:val="177A3491"/>
    <w:rsid w:val="1DE72511"/>
    <w:rsid w:val="1FFE1EEE"/>
    <w:rsid w:val="22B52834"/>
    <w:rsid w:val="2CF9481C"/>
    <w:rsid w:val="48F071BE"/>
    <w:rsid w:val="4CBF0E7E"/>
    <w:rsid w:val="4F5D2DEA"/>
    <w:rsid w:val="516F6EB9"/>
    <w:rsid w:val="53FA11ED"/>
    <w:rsid w:val="57364CC8"/>
    <w:rsid w:val="5DCA18B2"/>
    <w:rsid w:val="66117C3F"/>
    <w:rsid w:val="665400C7"/>
    <w:rsid w:val="67136C12"/>
    <w:rsid w:val="7335722C"/>
    <w:rsid w:val="73B70F73"/>
    <w:rsid w:val="77521AFC"/>
    <w:rsid w:val="78CC04D0"/>
    <w:rsid w:val="7A40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1">
    <w:name w:val="Default Paragraph Font"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7"/>
    <w:qFormat/>
    <w:uiPriority w:val="99"/>
    <w:pPr>
      <w:spacing w:after="120"/>
    </w:pPr>
  </w:style>
  <w:style w:type="paragraph" w:styleId="4">
    <w:name w:val="annotation text"/>
    <w:basedOn w:val="1"/>
    <w:link w:val="18"/>
    <w:qFormat/>
    <w:uiPriority w:val="99"/>
    <w:pPr>
      <w:jc w:val="left"/>
    </w:pPr>
  </w:style>
  <w:style w:type="paragraph" w:styleId="5">
    <w:name w:val="Balloon Text"/>
    <w:basedOn w:val="1"/>
    <w:link w:val="20"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页眉 字符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正文文本 字符"/>
    <w:basedOn w:val="11"/>
    <w:link w:val="2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文字 字符"/>
    <w:basedOn w:val="11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0">
    <w:name w:val="批注框文本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339</Words>
  <Characters>1935</Characters>
  <Lines>16</Lines>
  <Paragraphs>4</Paragraphs>
  <TotalTime>80</TotalTime>
  <ScaleCrop>false</ScaleCrop>
  <LinksUpToDate>false</LinksUpToDate>
  <CharactersWithSpaces>2270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2025-07-31T02:24:00Z</dcterms:created>
  <dc:creator>Administrator</dc:creator>
  <cp:lastModifiedBy>admin</cp:lastModifiedBy>
  <cp:lastPrinted>2025-08-11T06:15:00Z</cp:lastPrinted>
  <dcterms:modified xsi:type="dcterms:W3CDTF">2025-09-24T08:30:46Z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eyJoZGlkIjoiZTc2Y2UxMjJmNTMyYjNlNDI4NTZjYjUwYzVlM2Y4MzciLCJ1c2VySWQiOiI1MzU5NDgzIn0=</vt:lpwstr>
  </property>
  <property fmtid="{D5CDD505-2E9C-101B-9397-08002B2CF9AE}" pid="4" name="ICV">
    <vt:lpwstr>A9F0BE94C2AF42D5BC728392129FBFF1_13</vt:lpwstr>
  </property>
</Properties>
</file>