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20" w:lineRule="exact"/>
        <w:ind w:left="360" w:hanging="360"/>
        <w:jc w:val="center"/>
        <w:textAlignment w:val="auto"/>
        <w:rPr>
          <w:rFonts w:hint="default" w:ascii="Times New Roman" w:hAnsi="Times New Roman" w:eastAsia="宋体" w:cs="Times New Roman"/>
          <w:b/>
          <w:bCs/>
          <w:color w:val="auto"/>
          <w:sz w:val="24"/>
          <w:szCs w:val="24"/>
          <w:highlight w:val="none"/>
          <w:lang w:val="en-US" w:eastAsia="zh-CN"/>
        </w:rPr>
      </w:pPr>
      <w:r>
        <w:rPr>
          <w:rFonts w:hint="eastAsia" w:ascii="Times New Roman" w:hAnsi="Times New Roman" w:eastAsia="宋体" w:cs="Times New Roman"/>
          <w:b/>
          <w:bCs/>
          <w:color w:val="auto"/>
          <w:sz w:val="24"/>
          <w:szCs w:val="24"/>
          <w:highlight w:val="none"/>
          <w:lang w:eastAsia="zh-CN"/>
        </w:rPr>
        <w:t>重庆江北国际机场T3B航站楼及第四跑道工程交运行李安检系统设备采购及安装项目（重新招标）</w:t>
      </w:r>
      <w:r>
        <w:rPr>
          <w:rFonts w:hint="default" w:ascii="Times New Roman" w:hAnsi="Times New Roman" w:eastAsia="宋体" w:cs="Times New Roman"/>
          <w:b/>
          <w:bCs/>
          <w:color w:val="auto"/>
          <w:sz w:val="24"/>
          <w:szCs w:val="24"/>
          <w:highlight w:val="none"/>
        </w:rPr>
        <w:t>-国际招标澄清或变更公告</w:t>
      </w:r>
    </w:p>
    <w:p>
      <w:pPr>
        <w:pageBreakBefore w:val="0"/>
        <w:widowControl w:val="0"/>
        <w:kinsoku/>
        <w:wordWrap/>
        <w:overflowPunct/>
        <w:topLinePunct w:val="0"/>
        <w:autoSpaceDE/>
        <w:autoSpaceDN/>
        <w:bidi w:val="0"/>
        <w:adjustRightInd/>
        <w:snapToGrid/>
        <w:spacing w:line="520" w:lineRule="exact"/>
        <w:ind w:left="360" w:hanging="360"/>
        <w:textAlignment w:val="auto"/>
        <w:rPr>
          <w:rFonts w:hint="default" w:ascii="Times New Roman" w:hAnsi="Times New Roman" w:eastAsia="宋体" w:cs="Times New Roman"/>
          <w:b/>
          <w:bCs/>
          <w:color w:val="auto"/>
          <w:sz w:val="24"/>
          <w:szCs w:val="24"/>
          <w:highlight w:val="none"/>
        </w:rPr>
      </w:pPr>
    </w:p>
    <w:p>
      <w:pPr>
        <w:pageBreakBefore w:val="0"/>
        <w:widowControl w:val="0"/>
        <w:kinsoku/>
        <w:wordWrap/>
        <w:overflowPunct/>
        <w:topLinePunct w:val="0"/>
        <w:autoSpaceDE/>
        <w:autoSpaceDN/>
        <w:bidi w:val="0"/>
        <w:adjustRightInd/>
        <w:snapToGrid/>
        <w:spacing w:line="520" w:lineRule="exact"/>
        <w:ind w:left="360" w:hanging="360"/>
        <w:textAlignment w:val="auto"/>
        <w:rPr>
          <w:rFonts w:hint="default" w:ascii="Times New Roman" w:hAnsi="Times New Roman" w:eastAsia="宋体" w:cs="Times New Roman"/>
          <w:b/>
          <w:bCs/>
          <w:color w:val="auto"/>
          <w:sz w:val="24"/>
          <w:szCs w:val="24"/>
          <w:highlight w:val="none"/>
        </w:rPr>
      </w:pPr>
      <w:r>
        <w:rPr>
          <w:rFonts w:hint="default" w:ascii="Times New Roman" w:hAnsi="Times New Roman" w:eastAsia="宋体" w:cs="Times New Roman"/>
          <w:b/>
          <w:bCs/>
          <w:color w:val="auto"/>
          <w:sz w:val="24"/>
          <w:szCs w:val="24"/>
          <w:highlight w:val="none"/>
        </w:rPr>
        <w:t>潜在投标人：</w:t>
      </w:r>
    </w:p>
    <w:p>
      <w:pPr>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eastAsia="zh-CN"/>
        </w:rPr>
        <w:t>重庆江北国际机场T3B航站楼及第四跑道工程交运行李安检系统设备采购及安装项目（重新招标）</w:t>
      </w:r>
      <w:r>
        <w:rPr>
          <w:rFonts w:hint="default" w:ascii="Times New Roman" w:hAnsi="Times New Roman" w:eastAsia="宋体" w:cs="Times New Roman"/>
          <w:color w:val="auto"/>
          <w:sz w:val="24"/>
          <w:szCs w:val="24"/>
          <w:highlight w:val="none"/>
        </w:rPr>
        <w:t>（招标编号：</w:t>
      </w:r>
      <w:r>
        <w:rPr>
          <w:rFonts w:hint="default" w:ascii="Times New Roman" w:hAnsi="Times New Roman" w:eastAsia="宋体" w:cs="Times New Roman"/>
          <w:color w:val="auto"/>
          <w:sz w:val="24"/>
          <w:szCs w:val="24"/>
          <w:highlight w:val="none"/>
          <w:lang w:eastAsia="zh-CN"/>
        </w:rPr>
        <w:t>3108-24400140021A/01</w:t>
      </w:r>
      <w:r>
        <w:rPr>
          <w:rFonts w:hint="default" w:ascii="Times New Roman" w:hAnsi="Times New Roman" w:eastAsia="宋体" w:cs="Times New Roman"/>
          <w:color w:val="auto"/>
          <w:sz w:val="24"/>
          <w:szCs w:val="24"/>
          <w:highlight w:val="none"/>
        </w:rPr>
        <w:t>），</w:t>
      </w:r>
      <w:r>
        <w:rPr>
          <w:rFonts w:hint="default" w:ascii="Times New Roman" w:hAnsi="Times New Roman" w:eastAsia="宋体" w:cs="Times New Roman"/>
          <w:color w:val="auto"/>
          <w:sz w:val="24"/>
          <w:szCs w:val="24"/>
          <w:highlight w:val="none"/>
          <w:lang w:val="en-US" w:eastAsia="zh-CN"/>
        </w:rPr>
        <w:t>招标文件变更如下（共</w:t>
      </w:r>
      <w:r>
        <w:rPr>
          <w:rFonts w:hint="eastAsia" w:ascii="Times New Roman" w:hAnsi="Times New Roman" w:eastAsia="宋体" w:cs="Times New Roman"/>
          <w:color w:val="auto"/>
          <w:sz w:val="24"/>
          <w:szCs w:val="24"/>
          <w:highlight w:val="none"/>
          <w:lang w:val="en-US" w:eastAsia="zh-CN"/>
        </w:rPr>
        <w:t>5</w:t>
      </w:r>
      <w:r>
        <w:rPr>
          <w:rFonts w:hint="default" w:ascii="Times New Roman" w:hAnsi="Times New Roman" w:eastAsia="宋体" w:cs="Times New Roman"/>
          <w:color w:val="auto"/>
          <w:sz w:val="24"/>
          <w:szCs w:val="24"/>
          <w:highlight w:val="none"/>
          <w:lang w:val="en-US" w:eastAsia="zh-CN"/>
        </w:rPr>
        <w:t>条）</w:t>
      </w:r>
      <w:r>
        <w:rPr>
          <w:rFonts w:hint="default" w:ascii="Times New Roman" w:hAnsi="Times New Roman" w:eastAsia="宋体" w:cs="Times New Roman"/>
          <w:color w:val="auto"/>
          <w:sz w:val="24"/>
          <w:szCs w:val="24"/>
          <w:highlight w:val="none"/>
        </w:rPr>
        <w:t>：</w:t>
      </w:r>
    </w:p>
    <w:p>
      <w:pPr>
        <w:pStyle w:val="3"/>
        <w:pageBreakBefore w:val="0"/>
        <w:widowControl w:val="0"/>
        <w:numPr>
          <w:ilvl w:val="2"/>
          <w:numId w:val="0"/>
        </w:numPr>
        <w:kinsoku/>
        <w:wordWrap/>
        <w:overflowPunct/>
        <w:topLinePunct w:val="0"/>
        <w:autoSpaceDE/>
        <w:autoSpaceDN/>
        <w:bidi w:val="0"/>
        <w:adjustRightInd/>
        <w:snapToGrid/>
        <w:spacing w:before="0" w:after="0" w:line="520" w:lineRule="exact"/>
        <w:textAlignment w:val="auto"/>
        <w:rPr>
          <w:rFonts w:hint="default" w:ascii="Times New Roman" w:hAnsi="Times New Roman" w:eastAsia="宋体" w:cs="Times New Roman"/>
          <w:b/>
          <w:bCs/>
          <w:color w:val="auto"/>
          <w:kern w:val="2"/>
          <w:sz w:val="24"/>
          <w:szCs w:val="24"/>
          <w:highlight w:val="none"/>
          <w:lang w:val="en-US" w:eastAsia="zh-CN" w:bidi="ar-SA"/>
        </w:rPr>
      </w:pPr>
      <w:r>
        <w:rPr>
          <w:rFonts w:hint="default" w:ascii="Times New Roman" w:hAnsi="Times New Roman" w:eastAsia="宋体" w:cs="Times New Roman"/>
          <w:b w:val="0"/>
          <w:bCs w:val="0"/>
          <w:color w:val="auto"/>
          <w:kern w:val="2"/>
          <w:sz w:val="24"/>
          <w:szCs w:val="24"/>
          <w:highlight w:val="none"/>
          <w:lang w:val="en-US" w:eastAsia="zh-CN" w:bidi="ar-SA"/>
        </w:rPr>
        <w:t>1、招标文件第二册第六章投标资料表26.4.5条要求：</w:t>
      </w:r>
    </w:p>
    <w:tbl>
      <w:tblPr>
        <w:tblStyle w:val="7"/>
        <w:tblW w:w="876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48"/>
        <w:gridCol w:w="77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48" w:type="dxa"/>
            <w:tcBorders>
              <w:top w:val="single" w:color="auto" w:sz="6" w:space="0"/>
              <w:left w:val="single" w:color="auto" w:sz="12" w:space="0"/>
              <w:bottom w:val="single" w:color="auto" w:sz="6" w:space="0"/>
              <w:right w:val="single" w:color="auto" w:sz="4" w:space="0"/>
            </w:tcBorders>
            <w:noWrap w:val="0"/>
            <w:vAlign w:val="center"/>
          </w:tcPr>
          <w:p>
            <w:pPr>
              <w:pageBreakBefore w:val="0"/>
              <w:widowControl w:val="0"/>
              <w:kinsoku/>
              <w:wordWrap/>
              <w:overflowPunct/>
              <w:topLinePunct w:val="0"/>
              <w:bidi w:val="0"/>
              <w:spacing w:line="520" w:lineRule="exact"/>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26.4.5</w:t>
            </w:r>
          </w:p>
        </w:tc>
        <w:tc>
          <w:tcPr>
            <w:tcW w:w="7717" w:type="dxa"/>
            <w:tcBorders>
              <w:top w:val="single" w:color="auto" w:sz="6" w:space="0"/>
              <w:left w:val="single" w:color="auto" w:sz="4" w:space="0"/>
              <w:bottom w:val="single" w:color="auto" w:sz="6" w:space="0"/>
              <w:right w:val="single" w:color="auto" w:sz="12" w:space="0"/>
            </w:tcBorders>
            <w:noWrap w:val="0"/>
            <w:vAlign w:val="center"/>
          </w:tcPr>
          <w:p>
            <w:pPr>
              <w:pageBreakBefore w:val="0"/>
              <w:widowControl w:val="0"/>
              <w:kinsoku/>
              <w:wordWrap/>
              <w:overflowPunct/>
              <w:topLinePunct w:val="0"/>
              <w:bidi w:val="0"/>
              <w:spacing w:line="520" w:lineRule="exact"/>
              <w:rPr>
                <w:rFonts w:hint="default" w:ascii="Times New Roman" w:hAnsi="Times New Roman" w:eastAsia="宋体" w:cs="Times New Roman"/>
                <w:b/>
                <w:sz w:val="24"/>
                <w:szCs w:val="24"/>
                <w:highlight w:val="none"/>
              </w:rPr>
            </w:pPr>
            <w:r>
              <w:rPr>
                <w:rFonts w:hint="default" w:ascii="Times New Roman" w:hAnsi="Times New Roman" w:eastAsia="宋体" w:cs="Times New Roman"/>
                <w:b/>
                <w:sz w:val="24"/>
                <w:szCs w:val="24"/>
                <w:highlight w:val="none"/>
              </w:rPr>
              <w:t>中国关境内的备件供应和售后服务设施：</w:t>
            </w:r>
          </w:p>
          <w:p>
            <w:pPr>
              <w:pageBreakBefore w:val="0"/>
              <w:widowControl w:val="0"/>
              <w:kinsoku/>
              <w:wordWrap/>
              <w:overflowPunct/>
              <w:topLinePunct w:val="0"/>
              <w:bidi w:val="0"/>
              <w:spacing w:line="520" w:lineRule="exact"/>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1、</w:t>
            </w:r>
            <w:r>
              <w:rPr>
                <w:rFonts w:hint="default" w:ascii="Times New Roman" w:hAnsi="Times New Roman" w:eastAsia="宋体" w:cs="Times New Roman"/>
                <w:sz w:val="24"/>
                <w:szCs w:val="24"/>
                <w:highlight w:val="none"/>
              </w:rPr>
              <w:tab/>
            </w:r>
            <w:r>
              <w:rPr>
                <w:rFonts w:hint="default" w:ascii="Times New Roman" w:hAnsi="Times New Roman" w:eastAsia="宋体" w:cs="Times New Roman"/>
                <w:sz w:val="24"/>
                <w:szCs w:val="24"/>
                <w:highlight w:val="none"/>
              </w:rPr>
              <w:t>货物若出现故障，招标人用书面传真、电子邮件、电话等方式通知投标人，投标人应在接到招标人通知后4小时内作出故障排除响应，如果通过电话、传真或电子邮件无法排除故障，则投标人维修人员应在8小时内到达招标人现场进行故障排除，并提供售后服务承诺函。</w:t>
            </w:r>
          </w:p>
          <w:p>
            <w:pPr>
              <w:pageBreakBefore w:val="0"/>
              <w:widowControl w:val="0"/>
              <w:kinsoku/>
              <w:wordWrap/>
              <w:overflowPunct/>
              <w:topLinePunct w:val="0"/>
              <w:bidi w:val="0"/>
              <w:spacing w:line="520" w:lineRule="exact"/>
              <w:rPr>
                <w:rFonts w:hint="default" w:ascii="Times New Roman" w:hAnsi="Times New Roman" w:eastAsia="宋体" w:cs="Times New Roman"/>
                <w:spacing w:val="-6"/>
                <w:sz w:val="24"/>
                <w:szCs w:val="24"/>
                <w:highlight w:val="none"/>
              </w:rPr>
            </w:pPr>
            <w:r>
              <w:rPr>
                <w:rFonts w:hint="default" w:ascii="Times New Roman" w:hAnsi="Times New Roman" w:eastAsia="宋体" w:cs="Times New Roman"/>
                <w:sz w:val="24"/>
                <w:szCs w:val="24"/>
                <w:highlight w:val="none"/>
              </w:rPr>
              <w:t>2、</w:t>
            </w:r>
            <w:r>
              <w:rPr>
                <w:rFonts w:hint="default" w:ascii="Times New Roman" w:hAnsi="Times New Roman" w:eastAsia="宋体" w:cs="Times New Roman"/>
                <w:sz w:val="24"/>
                <w:szCs w:val="24"/>
                <w:highlight w:val="none"/>
              </w:rPr>
              <w:tab/>
            </w:r>
            <w:r>
              <w:rPr>
                <w:rFonts w:hint="default" w:ascii="Times New Roman" w:hAnsi="Times New Roman" w:eastAsia="宋体" w:cs="Times New Roman"/>
                <w:sz w:val="24"/>
                <w:szCs w:val="24"/>
                <w:highlight w:val="none"/>
              </w:rPr>
              <w:t>投标人或其所投设备制造商在中国境内有售后服务机构及维修能力，并提供服务机构的简介。</w:t>
            </w:r>
          </w:p>
        </w:tc>
      </w:tr>
    </w:tbl>
    <w:p>
      <w:pPr>
        <w:pStyle w:val="3"/>
        <w:pageBreakBefore w:val="0"/>
        <w:widowControl w:val="0"/>
        <w:numPr>
          <w:ilvl w:val="2"/>
          <w:numId w:val="0"/>
        </w:numPr>
        <w:kinsoku/>
        <w:wordWrap/>
        <w:overflowPunct/>
        <w:topLinePunct w:val="0"/>
        <w:autoSpaceDE/>
        <w:autoSpaceDN/>
        <w:bidi w:val="0"/>
        <w:adjustRightInd/>
        <w:snapToGrid/>
        <w:spacing w:before="0" w:after="0" w:line="520" w:lineRule="exact"/>
        <w:textAlignment w:val="auto"/>
        <w:rPr>
          <w:rFonts w:hint="default" w:ascii="Times New Roman" w:hAnsi="Times New Roman" w:eastAsia="宋体" w:cs="Times New Roman"/>
          <w:b/>
          <w:bCs/>
          <w:color w:val="auto"/>
          <w:kern w:val="2"/>
          <w:sz w:val="24"/>
          <w:szCs w:val="24"/>
          <w:highlight w:val="none"/>
          <w:lang w:val="en-US" w:eastAsia="zh-CN" w:bidi="ar-SA"/>
        </w:rPr>
      </w:pPr>
      <w:r>
        <w:rPr>
          <w:rFonts w:hint="default" w:ascii="Times New Roman" w:hAnsi="Times New Roman" w:eastAsia="宋体" w:cs="Times New Roman"/>
          <w:b/>
          <w:bCs/>
          <w:color w:val="auto"/>
          <w:kern w:val="2"/>
          <w:sz w:val="24"/>
          <w:szCs w:val="24"/>
          <w:highlight w:val="none"/>
          <w:lang w:val="en-US" w:eastAsia="zh-CN" w:bidi="ar-SA"/>
        </w:rPr>
        <w:t>变更为：</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48"/>
        <w:gridCol w:w="77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48" w:type="dxa"/>
            <w:tcBorders>
              <w:top w:val="single" w:color="auto" w:sz="6" w:space="0"/>
              <w:left w:val="single" w:color="auto" w:sz="12" w:space="0"/>
              <w:bottom w:val="single" w:color="auto" w:sz="6" w:space="0"/>
              <w:right w:val="single" w:color="auto" w:sz="4" w:space="0"/>
            </w:tcBorders>
            <w:noWrap w:val="0"/>
            <w:vAlign w:val="center"/>
          </w:tcPr>
          <w:p>
            <w:pPr>
              <w:keepNext/>
              <w:keepLines/>
              <w:pageBreakBefore w:val="0"/>
              <w:widowControl w:val="0"/>
              <w:kinsoku/>
              <w:wordWrap/>
              <w:overflowPunct/>
              <w:topLinePunct w:val="0"/>
              <w:bidi w:val="0"/>
              <w:spacing w:line="520" w:lineRule="exact"/>
              <w:jc w:val="center"/>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26.4.5</w:t>
            </w:r>
          </w:p>
        </w:tc>
        <w:tc>
          <w:tcPr>
            <w:tcW w:w="7717" w:type="dxa"/>
            <w:tcBorders>
              <w:top w:val="single" w:color="auto" w:sz="6" w:space="0"/>
              <w:left w:val="single" w:color="auto" w:sz="4" w:space="0"/>
              <w:bottom w:val="single" w:color="auto" w:sz="6" w:space="0"/>
              <w:right w:val="single" w:color="auto" w:sz="12" w:space="0"/>
            </w:tcBorders>
            <w:noWrap w:val="0"/>
            <w:vAlign w:val="center"/>
          </w:tcPr>
          <w:p>
            <w:pPr>
              <w:keepNext/>
              <w:keepLines/>
              <w:pageBreakBefore w:val="0"/>
              <w:widowControl w:val="0"/>
              <w:kinsoku/>
              <w:wordWrap/>
              <w:overflowPunct/>
              <w:topLinePunct w:val="0"/>
              <w:bidi w:val="0"/>
              <w:spacing w:line="520" w:lineRule="exact"/>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中国关境内的备件供应和售后服务设施：</w:t>
            </w:r>
          </w:p>
          <w:p>
            <w:pPr>
              <w:keepNext/>
              <w:keepLines/>
              <w:pageBreakBefore w:val="0"/>
              <w:widowControl w:val="0"/>
              <w:kinsoku/>
              <w:wordWrap/>
              <w:overflowPunct/>
              <w:topLinePunct w:val="0"/>
              <w:bidi w:val="0"/>
              <w:spacing w:line="520" w:lineRule="exac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1、</w:t>
            </w:r>
            <w:r>
              <w:rPr>
                <w:rFonts w:hint="default" w:ascii="Times New Roman" w:hAnsi="Times New Roman" w:eastAsia="宋体" w:cs="Times New Roman"/>
                <w:color w:val="auto"/>
                <w:sz w:val="24"/>
                <w:szCs w:val="24"/>
                <w:highlight w:val="none"/>
                <w:lang w:val="en-US" w:eastAsia="zh-CN"/>
              </w:rPr>
              <w:t>质保期内，</w:t>
            </w:r>
            <w:r>
              <w:rPr>
                <w:rFonts w:hint="default" w:ascii="Times New Roman" w:hAnsi="Times New Roman" w:eastAsia="宋体" w:cs="Times New Roman"/>
                <w:color w:val="auto"/>
                <w:sz w:val="24"/>
                <w:szCs w:val="24"/>
                <w:highlight w:val="none"/>
              </w:rPr>
              <w:t>货物若出现故障，投标人应在接到招标人通知后</w:t>
            </w:r>
            <w:r>
              <w:rPr>
                <w:rFonts w:hint="default" w:ascii="Times New Roman" w:hAnsi="Times New Roman" w:eastAsia="宋体" w:cs="Times New Roman"/>
                <w:color w:val="auto"/>
                <w:sz w:val="24"/>
                <w:szCs w:val="24"/>
                <w:highlight w:val="none"/>
                <w:lang w:val="en-US" w:eastAsia="zh-CN"/>
              </w:rPr>
              <w:t>15分钟</w:t>
            </w:r>
            <w:r>
              <w:rPr>
                <w:rFonts w:hint="default" w:ascii="Times New Roman" w:hAnsi="Times New Roman" w:eastAsia="宋体" w:cs="Times New Roman"/>
                <w:color w:val="auto"/>
                <w:sz w:val="24"/>
                <w:szCs w:val="24"/>
                <w:highlight w:val="none"/>
              </w:rPr>
              <w:t>内作出故障排除响应，投标人维修人员应在</w:t>
            </w:r>
            <w:r>
              <w:rPr>
                <w:rFonts w:hint="default" w:ascii="Times New Roman" w:hAnsi="Times New Roman" w:eastAsia="宋体" w:cs="Times New Roman"/>
                <w:color w:val="auto"/>
                <w:sz w:val="24"/>
                <w:szCs w:val="24"/>
                <w:highlight w:val="none"/>
                <w:lang w:val="en-US" w:eastAsia="zh-CN"/>
              </w:rPr>
              <w:t>15分钟</w:t>
            </w:r>
            <w:r>
              <w:rPr>
                <w:rFonts w:hint="default" w:ascii="Times New Roman" w:hAnsi="Times New Roman" w:eastAsia="宋体" w:cs="Times New Roman"/>
                <w:color w:val="auto"/>
                <w:sz w:val="24"/>
                <w:szCs w:val="24"/>
                <w:highlight w:val="none"/>
              </w:rPr>
              <w:t>内到达招标人现场进行故障排除，并提供售后服务承诺函（格式由投标人自拟，盖投标人单位公章）。</w:t>
            </w:r>
          </w:p>
          <w:p>
            <w:pPr>
              <w:keepNext/>
              <w:keepLines/>
              <w:pageBreakBefore w:val="0"/>
              <w:widowControl w:val="0"/>
              <w:kinsoku/>
              <w:wordWrap/>
              <w:overflowPunct/>
              <w:topLinePunct w:val="0"/>
              <w:bidi w:val="0"/>
              <w:spacing w:line="520" w:lineRule="exact"/>
              <w:rPr>
                <w:rFonts w:hint="default" w:ascii="Times New Roman" w:hAnsi="Times New Roman" w:eastAsia="宋体" w:cs="Times New Roman"/>
                <w:color w:val="auto"/>
                <w:spacing w:val="-6"/>
                <w:sz w:val="24"/>
                <w:szCs w:val="24"/>
                <w:highlight w:val="none"/>
              </w:rPr>
            </w:pPr>
            <w:r>
              <w:rPr>
                <w:rFonts w:hint="default" w:ascii="Times New Roman" w:hAnsi="Times New Roman" w:eastAsia="宋体" w:cs="Times New Roman"/>
                <w:color w:val="auto"/>
                <w:sz w:val="24"/>
                <w:szCs w:val="24"/>
                <w:highlight w:val="none"/>
              </w:rPr>
              <w:t>2、投标人或其所投设备制造商在中国境内有售后服务机构及维修能力，并提供服务机构的简介。</w:t>
            </w:r>
          </w:p>
        </w:tc>
      </w:tr>
    </w:tbl>
    <w:p>
      <w:pPr>
        <w:pageBreakBefore w:val="0"/>
        <w:widowControl w:val="0"/>
        <w:kinsoku/>
        <w:wordWrap/>
        <w:overflowPunct/>
        <w:topLinePunct w:val="0"/>
        <w:bidi w:val="0"/>
        <w:spacing w:line="520" w:lineRule="exact"/>
        <w:rPr>
          <w:rFonts w:hint="default" w:ascii="Times New Roman" w:hAnsi="Times New Roman" w:eastAsia="宋体" w:cs="Times New Roman"/>
          <w:sz w:val="24"/>
          <w:szCs w:val="24"/>
          <w:highlight w:val="none"/>
          <w:lang w:val="en-US" w:eastAsia="zh-CN"/>
        </w:rPr>
      </w:pPr>
    </w:p>
    <w:p>
      <w:pPr>
        <w:pageBreakBefore w:val="0"/>
        <w:widowControl w:val="0"/>
        <w:numPr>
          <w:ilvl w:val="0"/>
          <w:numId w:val="0"/>
        </w:numPr>
        <w:kinsoku/>
        <w:wordWrap/>
        <w:overflowPunct/>
        <w:topLinePunct w:val="0"/>
        <w:autoSpaceDE w:val="0"/>
        <w:autoSpaceDN w:val="0"/>
        <w:bidi w:val="0"/>
        <w:adjustRightInd w:val="0"/>
        <w:snapToGrid w:val="0"/>
        <w:spacing w:line="520" w:lineRule="exact"/>
        <w:rPr>
          <w:rFonts w:hint="default" w:ascii="Times New Roman" w:hAnsi="Times New Roman" w:eastAsia="宋体" w:cs="Times New Roman"/>
          <w:b w:val="0"/>
          <w:bCs w:val="0"/>
          <w:color w:val="auto"/>
          <w:kern w:val="2"/>
          <w:sz w:val="24"/>
          <w:szCs w:val="24"/>
          <w:highlight w:val="none"/>
          <w:lang w:val="en-US" w:eastAsia="zh-CN" w:bidi="ar-SA"/>
        </w:rPr>
      </w:pPr>
      <w:r>
        <w:rPr>
          <w:rFonts w:hint="default" w:ascii="Times New Roman" w:hAnsi="Times New Roman" w:eastAsia="宋体" w:cs="Times New Roman"/>
          <w:b w:val="0"/>
          <w:bCs w:val="0"/>
          <w:color w:val="auto"/>
          <w:kern w:val="2"/>
          <w:sz w:val="24"/>
          <w:szCs w:val="24"/>
          <w:highlight w:val="none"/>
          <w:lang w:val="en-US" w:eastAsia="zh-CN" w:bidi="ar-SA"/>
        </w:rPr>
        <w:t>2、招标文件第二册第八章第1.4.11.3驻场服务中的</w:t>
      </w:r>
      <w:r>
        <w:rPr>
          <w:rFonts w:hint="eastAsia" w:ascii="Times New Roman" w:hAnsi="Times New Roman" w:eastAsia="宋体" w:cs="Times New Roman"/>
          <w:b w:val="0"/>
          <w:bCs w:val="0"/>
          <w:color w:val="auto"/>
          <w:kern w:val="2"/>
          <w:sz w:val="24"/>
          <w:szCs w:val="24"/>
          <w:highlight w:val="none"/>
          <w:lang w:val="en-US" w:eastAsia="zh-CN" w:bidi="ar-SA"/>
        </w:rPr>
        <w:t>“</w:t>
      </w:r>
      <w:r>
        <w:rPr>
          <w:rFonts w:hint="default" w:ascii="Times New Roman" w:hAnsi="Times New Roman" w:eastAsia="宋体" w:cs="Times New Roman"/>
          <w:b w:val="0"/>
          <w:bCs w:val="0"/>
          <w:color w:val="auto"/>
          <w:kern w:val="2"/>
          <w:sz w:val="24"/>
          <w:szCs w:val="24"/>
          <w:highlight w:val="none"/>
          <w:lang w:val="en-US" w:eastAsia="zh-CN" w:bidi="ar-SA"/>
        </w:rPr>
        <w:t>工作内容</w:t>
      </w:r>
      <w:r>
        <w:rPr>
          <w:rFonts w:hint="eastAsia" w:ascii="Times New Roman" w:hAnsi="Times New Roman" w:eastAsia="宋体" w:cs="Times New Roman"/>
          <w:b w:val="0"/>
          <w:bCs w:val="0"/>
          <w:color w:val="auto"/>
          <w:kern w:val="2"/>
          <w:sz w:val="24"/>
          <w:szCs w:val="24"/>
          <w:highlight w:val="none"/>
          <w:lang w:val="en-US" w:eastAsia="zh-CN" w:bidi="ar-SA"/>
        </w:rPr>
        <w:t>”</w:t>
      </w:r>
      <w:r>
        <w:rPr>
          <w:rFonts w:hint="default" w:ascii="Times New Roman" w:hAnsi="Times New Roman" w:eastAsia="宋体" w:cs="Times New Roman"/>
          <w:b w:val="0"/>
          <w:bCs w:val="0"/>
          <w:color w:val="auto"/>
          <w:kern w:val="2"/>
          <w:sz w:val="24"/>
          <w:szCs w:val="24"/>
          <w:highlight w:val="none"/>
          <w:lang w:val="en-US" w:eastAsia="zh-CN" w:bidi="ar-SA"/>
        </w:rPr>
        <w:t>：</w:t>
      </w:r>
      <w:r>
        <w:rPr>
          <w:rFonts w:hint="eastAsia" w:ascii="Times New Roman" w:hAnsi="Times New Roman" w:eastAsia="宋体" w:cs="Times New Roman"/>
          <w:b w:val="0"/>
          <w:bCs w:val="0"/>
          <w:color w:val="auto"/>
          <w:kern w:val="2"/>
          <w:sz w:val="24"/>
          <w:szCs w:val="24"/>
          <w:highlight w:val="none"/>
          <w:lang w:val="en-US" w:eastAsia="zh-CN" w:bidi="ar-SA"/>
        </w:rPr>
        <w:t>“</w:t>
      </w:r>
      <w:r>
        <w:rPr>
          <w:rFonts w:hint="default" w:ascii="Times New Roman" w:hAnsi="Times New Roman" w:eastAsia="宋体" w:cs="Times New Roman"/>
          <w:b w:val="0"/>
          <w:bCs w:val="0"/>
          <w:color w:val="auto"/>
          <w:kern w:val="2"/>
          <w:sz w:val="24"/>
          <w:szCs w:val="24"/>
          <w:highlight w:val="none"/>
          <w:lang w:val="en-US" w:eastAsia="zh-CN" w:bidi="ar-SA"/>
        </w:rPr>
        <w:t>工作内容：系统正式投入运行起，到质保期结束，派IT、控制设备专业维护人员至少2人常驻现场，指导招标人对设备的正确使用，并对设备进行检查和维护，同时做好维护记录。在接到故障报修后，10分钟内到达故障设备现场。上述人员必须具备类似规模项目的实施经验，且伴随服务负责人必须参加过本项目实施工作。</w:t>
      </w:r>
      <w:r>
        <w:rPr>
          <w:rFonts w:hint="eastAsia" w:ascii="Times New Roman" w:hAnsi="Times New Roman" w:eastAsia="宋体" w:cs="Times New Roman"/>
          <w:b w:val="0"/>
          <w:bCs w:val="0"/>
          <w:color w:val="auto"/>
          <w:kern w:val="2"/>
          <w:sz w:val="24"/>
          <w:szCs w:val="24"/>
          <w:highlight w:val="none"/>
          <w:lang w:val="en-US" w:eastAsia="zh-CN" w:bidi="ar-SA"/>
        </w:rPr>
        <w:t>”</w:t>
      </w:r>
    </w:p>
    <w:p>
      <w:pPr>
        <w:pStyle w:val="2"/>
        <w:pageBreakBefore w:val="0"/>
        <w:widowControl w:val="0"/>
        <w:numPr>
          <w:ilvl w:val="0"/>
          <w:numId w:val="0"/>
        </w:numPr>
        <w:kinsoku/>
        <w:wordWrap/>
        <w:overflowPunct/>
        <w:topLinePunct w:val="0"/>
        <w:bidi w:val="0"/>
        <w:spacing w:line="520" w:lineRule="exact"/>
        <w:rPr>
          <w:rFonts w:hint="default" w:ascii="Times New Roman" w:hAnsi="Times New Roman" w:eastAsia="宋体" w:cs="Times New Roman"/>
          <w:b/>
          <w:bCs/>
          <w:color w:val="auto"/>
          <w:kern w:val="2"/>
          <w:sz w:val="24"/>
          <w:szCs w:val="24"/>
          <w:highlight w:val="none"/>
          <w:lang w:val="en-US" w:eastAsia="zh-CN" w:bidi="ar-SA"/>
        </w:rPr>
      </w:pPr>
      <w:r>
        <w:rPr>
          <w:rFonts w:hint="default" w:ascii="Times New Roman" w:hAnsi="Times New Roman" w:eastAsia="宋体" w:cs="Times New Roman"/>
          <w:b/>
          <w:bCs/>
          <w:color w:val="auto"/>
          <w:kern w:val="2"/>
          <w:sz w:val="24"/>
          <w:szCs w:val="24"/>
          <w:highlight w:val="none"/>
          <w:lang w:val="en-US" w:eastAsia="zh-CN" w:bidi="ar-SA"/>
        </w:rPr>
        <w:t>变更为：</w:t>
      </w:r>
    </w:p>
    <w:p>
      <w:pPr>
        <w:pageBreakBefore w:val="0"/>
        <w:widowControl w:val="0"/>
        <w:kinsoku/>
        <w:wordWrap/>
        <w:overflowPunct/>
        <w:topLinePunct w:val="0"/>
        <w:bidi w:val="0"/>
        <w:spacing w:line="520" w:lineRule="exact"/>
        <w:rPr>
          <w:rFonts w:hint="default"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w:t>
      </w:r>
      <w:r>
        <w:rPr>
          <w:rFonts w:hint="default" w:ascii="Times New Roman" w:hAnsi="Times New Roman" w:eastAsia="宋体" w:cs="Times New Roman"/>
          <w:b w:val="0"/>
          <w:bCs w:val="0"/>
          <w:color w:val="auto"/>
          <w:kern w:val="2"/>
          <w:sz w:val="24"/>
          <w:szCs w:val="24"/>
          <w:highlight w:val="none"/>
          <w:lang w:val="en-US" w:eastAsia="zh-CN" w:bidi="ar-SA"/>
        </w:rPr>
        <w:t>工作内容：系统正式投入运行起，到质保期结束，派IT、控制设备专业维护人员至少2人常驻现场，指导招标人对设备的正确使用，并对设备进行检查和维护，同时做好维护记录。在接到故障报修后，15分钟内到达故障设备现场。上述人员必须具备类似规模项目的实施经验，且伴随服务负责人必须参加过本项目实施工作。</w:t>
      </w:r>
      <w:r>
        <w:rPr>
          <w:rFonts w:hint="eastAsia" w:ascii="Times New Roman" w:hAnsi="Times New Roman" w:eastAsia="宋体" w:cs="Times New Roman"/>
          <w:sz w:val="24"/>
          <w:szCs w:val="24"/>
          <w:highlight w:val="none"/>
          <w:lang w:val="en-US" w:eastAsia="zh-CN"/>
        </w:rPr>
        <w:t>”</w:t>
      </w:r>
    </w:p>
    <w:p>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b w:val="0"/>
          <w:bCs w:val="0"/>
          <w:color w:val="auto"/>
          <w:sz w:val="24"/>
          <w:szCs w:val="24"/>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b w:val="0"/>
          <w:bCs w:val="0"/>
          <w:color w:val="auto"/>
          <w:kern w:val="2"/>
          <w:sz w:val="24"/>
          <w:szCs w:val="24"/>
          <w:highlight w:val="none"/>
          <w:lang w:val="en-US" w:eastAsia="zh-CN" w:bidi="ar-SA"/>
        </w:rPr>
      </w:pPr>
      <w:r>
        <w:rPr>
          <w:rFonts w:hint="default" w:ascii="Times New Roman" w:hAnsi="Times New Roman" w:eastAsia="宋体" w:cs="Times New Roman"/>
          <w:b w:val="0"/>
          <w:bCs w:val="0"/>
          <w:color w:val="auto"/>
          <w:sz w:val="24"/>
          <w:szCs w:val="24"/>
          <w:highlight w:val="none"/>
          <w:lang w:val="en-US" w:eastAsia="zh-CN"/>
        </w:rPr>
        <w:t>3、招标文件第二册</w:t>
      </w:r>
      <w:r>
        <w:rPr>
          <w:rFonts w:hint="default" w:ascii="Times New Roman" w:hAnsi="Times New Roman" w:eastAsia="宋体" w:cs="Times New Roman"/>
          <w:b w:val="0"/>
          <w:bCs w:val="0"/>
          <w:color w:val="auto"/>
          <w:kern w:val="2"/>
          <w:sz w:val="24"/>
          <w:szCs w:val="24"/>
          <w:highlight w:val="none"/>
          <w:lang w:val="en-US" w:eastAsia="zh-CN" w:bidi="ar-SA"/>
        </w:rPr>
        <w:t>第六章18.1第2条：</w:t>
      </w:r>
      <w:r>
        <w:rPr>
          <w:rFonts w:hint="eastAsia" w:ascii="Times New Roman" w:hAnsi="Times New Roman" w:eastAsia="宋体" w:cs="Times New Roman"/>
          <w:b w:val="0"/>
          <w:bCs w:val="0"/>
          <w:color w:val="auto"/>
          <w:kern w:val="2"/>
          <w:sz w:val="24"/>
          <w:szCs w:val="24"/>
          <w:highlight w:val="none"/>
          <w:lang w:val="en-US" w:eastAsia="zh-CN" w:bidi="ar-SA"/>
        </w:rPr>
        <w:t>“</w:t>
      </w:r>
      <w:r>
        <w:rPr>
          <w:rFonts w:hint="default" w:ascii="Times New Roman" w:hAnsi="Times New Roman" w:eastAsia="宋体" w:cs="Times New Roman"/>
          <w:sz w:val="24"/>
          <w:szCs w:val="24"/>
          <w:highlight w:val="none"/>
        </w:rPr>
        <w:t>资格投标文件密封袋内装(包括但不限于)：资格声明、制造商资格声明、营业执照复印件、投标保证金付款凭证以及投标人的银行基本账户开户证明文件（人民币转账或电汇时须提供）、投标保证金保函（若采用）、信用证（若采用）、法人代表或单位负责人授权书、投标人（作为代理）的资格声明（代理商投标时适用）、制造商授权书（代理商投标时适用）（或者由制造商负责对所投产品的销售、使用、巡检、保养、维修、培训及授权工作和提供原厂质保的承诺书）、（营业执照和）建筑机电安装工程专业承包资质或者民航空管工程及机场弱电系统工程专业承包资质、民用航空安全检查设备使用许可证书、业绩证明材料、银行资信证明等。</w:t>
      </w:r>
      <w:r>
        <w:rPr>
          <w:rFonts w:hint="eastAsia" w:ascii="Times New Roman" w:hAnsi="Times New Roman" w:eastAsia="宋体" w:cs="Times New Roman"/>
          <w:b w:val="0"/>
          <w:bCs w:val="0"/>
          <w:color w:val="auto"/>
          <w:kern w:val="2"/>
          <w:sz w:val="24"/>
          <w:szCs w:val="24"/>
          <w:highlight w:val="none"/>
          <w:lang w:val="en-US" w:eastAsia="zh-CN" w:bidi="ar-SA"/>
        </w:rPr>
        <w:t>”</w:t>
      </w:r>
    </w:p>
    <w:p>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b/>
          <w:bCs/>
          <w:sz w:val="24"/>
          <w:szCs w:val="24"/>
          <w:highlight w:val="none"/>
          <w:lang w:val="en-US" w:eastAsia="zh-CN"/>
        </w:rPr>
      </w:pPr>
      <w:r>
        <w:rPr>
          <w:rFonts w:hint="default" w:ascii="Times New Roman" w:hAnsi="Times New Roman" w:eastAsia="宋体" w:cs="Times New Roman"/>
          <w:b/>
          <w:bCs/>
          <w:sz w:val="24"/>
          <w:szCs w:val="24"/>
          <w:highlight w:val="none"/>
          <w:lang w:val="en-US" w:eastAsia="zh-CN"/>
        </w:rPr>
        <w:t>变更为：</w:t>
      </w:r>
    </w:p>
    <w:p>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b/>
          <w:bCs/>
          <w:color w:val="auto"/>
          <w:kern w:val="2"/>
          <w:sz w:val="24"/>
          <w:szCs w:val="24"/>
          <w:highlight w:val="none"/>
          <w:lang w:val="en-US" w:eastAsia="zh-CN" w:bidi="ar-SA"/>
        </w:rPr>
      </w:pPr>
      <w:r>
        <w:rPr>
          <w:rFonts w:hint="eastAsia" w:ascii="Times New Roman" w:hAnsi="Times New Roman" w:eastAsia="宋体" w:cs="Times New Roman"/>
          <w:b w:val="0"/>
          <w:bCs w:val="0"/>
          <w:color w:val="auto"/>
          <w:sz w:val="24"/>
          <w:szCs w:val="24"/>
          <w:highlight w:val="none"/>
          <w:lang w:eastAsia="zh-CN"/>
        </w:rPr>
        <w:t>“</w:t>
      </w:r>
      <w:r>
        <w:rPr>
          <w:rFonts w:hint="default" w:ascii="Times New Roman" w:hAnsi="Times New Roman" w:eastAsia="宋体" w:cs="Times New Roman"/>
          <w:b w:val="0"/>
          <w:bCs w:val="0"/>
          <w:color w:val="auto"/>
          <w:sz w:val="24"/>
          <w:szCs w:val="24"/>
          <w:highlight w:val="none"/>
        </w:rPr>
        <w:t>资格投标文件密封袋内装</w:t>
      </w:r>
      <w:r>
        <w:rPr>
          <w:rFonts w:hint="default" w:ascii="Times New Roman" w:hAnsi="Times New Roman" w:eastAsia="宋体" w:cs="Times New Roman"/>
          <w:b w:val="0"/>
          <w:bCs w:val="0"/>
          <w:color w:val="auto"/>
          <w:sz w:val="24"/>
          <w:szCs w:val="24"/>
          <w:highlight w:val="none"/>
          <w:lang w:eastAsia="zh-CN"/>
        </w:rPr>
        <w:t>（</w:t>
      </w:r>
      <w:r>
        <w:rPr>
          <w:rFonts w:hint="default" w:ascii="Times New Roman" w:hAnsi="Times New Roman" w:eastAsia="宋体" w:cs="Times New Roman"/>
          <w:b w:val="0"/>
          <w:bCs w:val="0"/>
          <w:color w:val="auto"/>
          <w:sz w:val="24"/>
          <w:szCs w:val="24"/>
          <w:highlight w:val="none"/>
        </w:rPr>
        <w:t>包括但不限于</w:t>
      </w:r>
      <w:r>
        <w:rPr>
          <w:rFonts w:hint="default" w:ascii="Times New Roman" w:hAnsi="Times New Roman" w:eastAsia="宋体" w:cs="Times New Roman"/>
          <w:b w:val="0"/>
          <w:bCs w:val="0"/>
          <w:color w:val="auto"/>
          <w:sz w:val="24"/>
          <w:szCs w:val="24"/>
          <w:highlight w:val="none"/>
          <w:lang w:eastAsia="zh-CN"/>
        </w:rPr>
        <w:t>）</w:t>
      </w:r>
      <w:r>
        <w:rPr>
          <w:rFonts w:hint="default" w:ascii="Times New Roman" w:hAnsi="Times New Roman" w:eastAsia="宋体" w:cs="Times New Roman"/>
          <w:b w:val="0"/>
          <w:bCs w:val="0"/>
          <w:color w:val="auto"/>
          <w:sz w:val="24"/>
          <w:szCs w:val="24"/>
          <w:highlight w:val="none"/>
        </w:rPr>
        <w:t>：资格声明、制造商资格声明</w:t>
      </w:r>
      <w:r>
        <w:rPr>
          <w:rFonts w:hint="default" w:ascii="Times New Roman" w:hAnsi="Times New Roman" w:eastAsia="宋体" w:cs="Times New Roman"/>
          <w:b w:val="0"/>
          <w:bCs w:val="0"/>
          <w:color w:val="auto"/>
          <w:kern w:val="2"/>
          <w:sz w:val="24"/>
          <w:szCs w:val="24"/>
          <w:highlight w:val="none"/>
          <w:lang w:val="en-US" w:eastAsia="zh-CN" w:bidi="ar-SA"/>
        </w:rPr>
        <w:t>（制造商投标时适用）</w:t>
      </w:r>
      <w:r>
        <w:rPr>
          <w:rFonts w:hint="default" w:ascii="Times New Roman" w:hAnsi="Times New Roman" w:eastAsia="宋体" w:cs="Times New Roman"/>
          <w:b w:val="0"/>
          <w:bCs w:val="0"/>
          <w:color w:val="auto"/>
          <w:sz w:val="24"/>
          <w:szCs w:val="24"/>
          <w:highlight w:val="none"/>
        </w:rPr>
        <w:t>、营业执照、</w:t>
      </w:r>
      <w:r>
        <w:rPr>
          <w:rFonts w:hint="default" w:ascii="Times New Roman" w:hAnsi="Times New Roman" w:eastAsia="宋体" w:cs="Times New Roman"/>
          <w:color w:val="auto"/>
          <w:sz w:val="24"/>
          <w:szCs w:val="24"/>
          <w:highlight w:val="none"/>
        </w:rPr>
        <w:t>投标保证金付款凭证以及投标人的银行基本账户开户证明文件</w:t>
      </w:r>
      <w:r>
        <w:rPr>
          <w:rFonts w:hint="default" w:ascii="Times New Roman" w:hAnsi="Times New Roman" w:eastAsia="宋体" w:cs="Times New Roman"/>
          <w:b w:val="0"/>
          <w:bCs w:val="0"/>
          <w:color w:val="auto"/>
          <w:sz w:val="24"/>
          <w:szCs w:val="24"/>
          <w:highlight w:val="none"/>
        </w:rPr>
        <w:t>（人民币转账或电汇时须提供）、</w:t>
      </w:r>
      <w:r>
        <w:rPr>
          <w:rFonts w:hint="default" w:ascii="Times New Roman" w:hAnsi="Times New Roman" w:eastAsia="宋体" w:cs="Times New Roman"/>
          <w:b w:val="0"/>
          <w:bCs w:val="0"/>
          <w:color w:val="auto"/>
          <w:sz w:val="24"/>
          <w:szCs w:val="24"/>
          <w:highlight w:val="none"/>
          <w:lang w:val="en-US" w:eastAsia="zh-CN"/>
        </w:rPr>
        <w:t>投标保证金</w:t>
      </w:r>
      <w:r>
        <w:rPr>
          <w:rFonts w:hint="default" w:ascii="Times New Roman" w:hAnsi="Times New Roman" w:eastAsia="宋体" w:cs="Times New Roman"/>
          <w:color w:val="auto"/>
          <w:sz w:val="24"/>
          <w:szCs w:val="24"/>
          <w:highlight w:val="none"/>
        </w:rPr>
        <w:t>银行保函或不可撤销的信用证</w:t>
      </w:r>
      <w:r>
        <w:rPr>
          <w:rFonts w:hint="default" w:ascii="Times New Roman" w:hAnsi="Times New Roman" w:eastAsia="宋体" w:cs="Times New Roman"/>
          <w:b w:val="0"/>
          <w:bCs w:val="0"/>
          <w:color w:val="auto"/>
          <w:sz w:val="24"/>
          <w:szCs w:val="24"/>
          <w:highlight w:val="none"/>
        </w:rPr>
        <w:t>（若采用）、法人代表或单位负责人授权书、</w:t>
      </w:r>
      <w:r>
        <w:rPr>
          <w:rFonts w:hint="default" w:ascii="Times New Roman" w:hAnsi="Times New Roman" w:eastAsia="宋体" w:cs="Times New Roman"/>
          <w:color w:val="auto"/>
          <w:sz w:val="24"/>
          <w:szCs w:val="24"/>
          <w:highlight w:val="none"/>
        </w:rPr>
        <w:t>投标人（作为代理）的资格声明</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lang w:val="en-US" w:eastAsia="zh-CN"/>
        </w:rPr>
        <w:t>代理商投标时适用</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b w:val="0"/>
          <w:bCs w:val="0"/>
          <w:color w:val="auto"/>
          <w:sz w:val="24"/>
          <w:szCs w:val="24"/>
          <w:highlight w:val="none"/>
        </w:rPr>
        <w:t>制造商授权书（代理商投标时适用）</w:t>
      </w:r>
      <w:r>
        <w:rPr>
          <w:rFonts w:hint="default" w:ascii="Times New Roman" w:hAnsi="Times New Roman" w:eastAsia="宋体" w:cs="Times New Roman"/>
          <w:b w:val="0"/>
          <w:bCs w:val="0"/>
          <w:color w:val="auto"/>
          <w:sz w:val="24"/>
          <w:szCs w:val="24"/>
          <w:highlight w:val="none"/>
          <w:lang w:eastAsia="zh-CN"/>
        </w:rPr>
        <w:t>（</w:t>
      </w:r>
      <w:r>
        <w:rPr>
          <w:rFonts w:hint="default" w:ascii="Times New Roman" w:hAnsi="Times New Roman" w:eastAsia="宋体" w:cs="Times New Roman"/>
          <w:b w:val="0"/>
          <w:bCs w:val="0"/>
          <w:color w:val="auto"/>
          <w:sz w:val="24"/>
          <w:szCs w:val="24"/>
          <w:highlight w:val="none"/>
          <w:lang w:val="en-US" w:eastAsia="zh-CN"/>
        </w:rPr>
        <w:t>或者</w:t>
      </w:r>
      <w:r>
        <w:rPr>
          <w:rFonts w:hint="default" w:ascii="Times New Roman" w:hAnsi="Times New Roman" w:eastAsia="宋体" w:cs="Times New Roman"/>
          <w:color w:val="auto"/>
          <w:sz w:val="24"/>
          <w:szCs w:val="24"/>
          <w:highlight w:val="none"/>
        </w:rPr>
        <w:t>由制造商负责对所投产品的销售、使用、巡检、保养、维修、培训及授权工作和提供原厂质保的承诺书</w:t>
      </w:r>
      <w:r>
        <w:rPr>
          <w:rFonts w:hint="default" w:ascii="Times New Roman" w:hAnsi="Times New Roman" w:eastAsia="宋体" w:cs="Times New Roman"/>
          <w:b w:val="0"/>
          <w:bCs w:val="0"/>
          <w:color w:val="auto"/>
          <w:sz w:val="24"/>
          <w:szCs w:val="24"/>
          <w:highlight w:val="none"/>
          <w:lang w:eastAsia="zh-CN"/>
        </w:rPr>
        <w:t>）</w:t>
      </w:r>
      <w:r>
        <w:rPr>
          <w:rFonts w:hint="default" w:ascii="Times New Roman" w:hAnsi="Times New Roman" w:eastAsia="宋体" w:cs="Times New Roman"/>
          <w:b w:val="0"/>
          <w:bCs w:val="0"/>
          <w:color w:val="auto"/>
          <w:sz w:val="24"/>
          <w:szCs w:val="24"/>
          <w:highlight w:val="none"/>
        </w:rPr>
        <w:t>、</w:t>
      </w:r>
      <w:r>
        <w:rPr>
          <w:rFonts w:hint="default" w:ascii="Times New Roman" w:hAnsi="Times New Roman" w:eastAsia="宋体" w:cs="Times New Roman"/>
          <w:b w:val="0"/>
          <w:bCs w:val="0"/>
          <w:color w:val="auto"/>
          <w:sz w:val="24"/>
          <w:szCs w:val="24"/>
          <w:highlight w:val="none"/>
          <w:lang w:eastAsia="zh-CN"/>
        </w:rPr>
        <w:t>（</w:t>
      </w:r>
      <w:r>
        <w:rPr>
          <w:rFonts w:hint="default" w:ascii="Times New Roman" w:hAnsi="Times New Roman" w:eastAsia="宋体" w:cs="Times New Roman"/>
          <w:b w:val="0"/>
          <w:bCs w:val="0"/>
          <w:color w:val="auto"/>
          <w:sz w:val="24"/>
          <w:szCs w:val="24"/>
          <w:highlight w:val="none"/>
          <w:lang w:val="en-US" w:eastAsia="zh-CN"/>
        </w:rPr>
        <w:t>营业执照和</w:t>
      </w:r>
      <w:r>
        <w:rPr>
          <w:rFonts w:hint="default" w:ascii="Times New Roman" w:hAnsi="Times New Roman" w:eastAsia="宋体" w:cs="Times New Roman"/>
          <w:b w:val="0"/>
          <w:bCs w:val="0"/>
          <w:color w:val="auto"/>
          <w:sz w:val="24"/>
          <w:szCs w:val="24"/>
          <w:highlight w:val="none"/>
          <w:lang w:eastAsia="zh-CN"/>
        </w:rPr>
        <w:t>）</w:t>
      </w:r>
      <w:r>
        <w:rPr>
          <w:rFonts w:hint="default" w:ascii="Times New Roman" w:hAnsi="Times New Roman" w:eastAsia="宋体" w:cs="Times New Roman"/>
          <w:color w:val="auto"/>
          <w:sz w:val="24"/>
          <w:szCs w:val="24"/>
          <w:highlight w:val="none"/>
        </w:rPr>
        <w:t>建筑机电安装工程专业承包资质或者民航空管工程及机场弱电系统工程专业承包资质</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民用航空安全检查设备使用许可证书</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lang w:val="en-US" w:eastAsia="zh-CN"/>
        </w:rPr>
        <w:t>业绩证明材料、</w:t>
      </w:r>
      <w:r>
        <w:rPr>
          <w:rFonts w:hint="default" w:ascii="Times New Roman" w:hAnsi="Times New Roman" w:eastAsia="宋体" w:cs="Times New Roman"/>
          <w:b w:val="0"/>
          <w:bCs w:val="0"/>
          <w:color w:val="auto"/>
          <w:sz w:val="24"/>
          <w:szCs w:val="24"/>
          <w:highlight w:val="none"/>
        </w:rPr>
        <w:t>银行资信证明等。</w:t>
      </w:r>
      <w:r>
        <w:rPr>
          <w:rFonts w:hint="eastAsia" w:ascii="Times New Roman" w:hAnsi="Times New Roman" w:eastAsia="宋体" w:cs="Times New Roman"/>
          <w:b w:val="0"/>
          <w:bCs w:val="0"/>
          <w:color w:val="auto"/>
          <w:sz w:val="24"/>
          <w:szCs w:val="24"/>
          <w:highlight w:val="none"/>
          <w:lang w:eastAsia="zh-CN"/>
        </w:rPr>
        <w:t>”</w:t>
      </w:r>
    </w:p>
    <w:p>
      <w:pPr>
        <w:pageBreakBefore w:val="0"/>
        <w:widowControl w:val="0"/>
        <w:kinsoku/>
        <w:wordWrap/>
        <w:overflowPunct/>
        <w:topLinePunct w:val="0"/>
        <w:autoSpaceDE/>
        <w:autoSpaceDN/>
        <w:bidi w:val="0"/>
        <w:adjustRightInd/>
        <w:snapToGrid/>
        <w:spacing w:line="520" w:lineRule="exact"/>
        <w:rPr>
          <w:rFonts w:hint="default" w:ascii="Times New Roman" w:hAnsi="Times New Roman" w:eastAsia="宋体" w:cs="Times New Roman"/>
          <w:b w:val="0"/>
          <w:bCs w:val="0"/>
          <w:color w:val="auto"/>
          <w:kern w:val="2"/>
          <w:sz w:val="24"/>
          <w:szCs w:val="24"/>
          <w:highlight w:val="none"/>
          <w:lang w:val="en-US" w:eastAsia="zh-CN" w:bidi="ar-SA"/>
        </w:rPr>
      </w:pPr>
    </w:p>
    <w:p>
      <w:pPr>
        <w:pageBreakBefore w:val="0"/>
        <w:widowControl w:val="0"/>
        <w:kinsoku/>
        <w:wordWrap/>
        <w:overflowPunct/>
        <w:topLinePunct w:val="0"/>
        <w:autoSpaceDE/>
        <w:autoSpaceDN/>
        <w:bidi w:val="0"/>
        <w:adjustRightInd/>
        <w:snapToGrid/>
        <w:spacing w:line="520" w:lineRule="exact"/>
        <w:rPr>
          <w:rFonts w:hint="default" w:ascii="Times New Roman" w:hAnsi="Times New Roman" w:eastAsia="宋体" w:cs="Times New Roman"/>
          <w:sz w:val="24"/>
          <w:szCs w:val="24"/>
          <w:highlight w:val="none"/>
          <w:lang w:val="en-US"/>
        </w:rPr>
      </w:pPr>
      <w:r>
        <w:rPr>
          <w:rFonts w:hint="default" w:ascii="Times New Roman" w:hAnsi="Times New Roman" w:eastAsia="宋体" w:cs="Times New Roman"/>
          <w:b w:val="0"/>
          <w:bCs w:val="0"/>
          <w:color w:val="auto"/>
          <w:kern w:val="2"/>
          <w:sz w:val="24"/>
          <w:szCs w:val="24"/>
          <w:highlight w:val="none"/>
          <w:lang w:val="en-US" w:eastAsia="zh-CN" w:bidi="ar-SA"/>
        </w:rPr>
        <w:t>4、</w:t>
      </w:r>
      <w:r>
        <w:rPr>
          <w:rFonts w:hint="default" w:ascii="Times New Roman" w:hAnsi="Times New Roman" w:eastAsia="宋体" w:cs="Times New Roman"/>
          <w:color w:val="auto"/>
          <w:kern w:val="2"/>
          <w:sz w:val="24"/>
          <w:szCs w:val="24"/>
          <w:highlight w:val="none"/>
          <w:lang w:val="en-US" w:eastAsia="zh-CN" w:bidi="ar-SA"/>
        </w:rPr>
        <w:t>招标文件附件《附件1-投标货物分项报价表》的(三)专用工具和检测仪器报价表中第11项：</w:t>
      </w:r>
    </w:p>
    <w:tbl>
      <w:tblPr>
        <w:tblStyle w:val="7"/>
        <w:tblW w:w="49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2283"/>
        <w:gridCol w:w="1393"/>
        <w:gridCol w:w="1859"/>
        <w:gridCol w:w="1028"/>
        <w:gridCol w:w="1032"/>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1"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center"/>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11</w:t>
            </w:r>
          </w:p>
        </w:tc>
        <w:tc>
          <w:tcPr>
            <w:tcW w:w="1159"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center"/>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维修操作台</w:t>
            </w:r>
          </w:p>
        </w:tc>
        <w:tc>
          <w:tcPr>
            <w:tcW w:w="707" w:type="pct"/>
            <w:noWrap w:val="0"/>
            <w:vAlign w:val="top"/>
          </w:tcPr>
          <w:p>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center"/>
              <w:rPr>
                <w:rFonts w:hint="default" w:ascii="Times New Roman" w:hAnsi="Times New Roman" w:eastAsia="宋体" w:cs="Times New Roman"/>
                <w:color w:val="auto"/>
                <w:kern w:val="2"/>
                <w:sz w:val="24"/>
                <w:szCs w:val="24"/>
                <w:highlight w:val="none"/>
                <w:lang w:val="en-US" w:eastAsia="zh-CN" w:bidi="ar-SA"/>
              </w:rPr>
            </w:pPr>
          </w:p>
        </w:tc>
        <w:tc>
          <w:tcPr>
            <w:tcW w:w="944" w:type="pct"/>
            <w:noWrap w:val="0"/>
            <w:vAlign w:val="top"/>
          </w:tcPr>
          <w:p>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center"/>
              <w:rPr>
                <w:rFonts w:hint="default" w:ascii="Times New Roman" w:hAnsi="Times New Roman" w:eastAsia="宋体" w:cs="Times New Roman"/>
                <w:color w:val="auto"/>
                <w:kern w:val="2"/>
                <w:sz w:val="24"/>
                <w:szCs w:val="24"/>
                <w:highlight w:val="none"/>
                <w:lang w:val="en-US" w:eastAsia="zh-CN" w:bidi="ar-SA"/>
              </w:rPr>
            </w:pPr>
          </w:p>
        </w:tc>
        <w:tc>
          <w:tcPr>
            <w:tcW w:w="522" w:type="pct"/>
            <w:noWrap w:val="0"/>
            <w:vAlign w:val="top"/>
          </w:tcPr>
          <w:p>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center"/>
              <w:rPr>
                <w:rFonts w:hint="default" w:ascii="Times New Roman" w:hAnsi="Times New Roman" w:eastAsia="宋体" w:cs="Times New Roman"/>
                <w:color w:val="auto"/>
                <w:kern w:val="2"/>
                <w:sz w:val="24"/>
                <w:szCs w:val="24"/>
                <w:highlight w:val="none"/>
                <w:lang w:val="en-US" w:eastAsia="zh-CN" w:bidi="ar-SA"/>
              </w:rPr>
            </w:pPr>
          </w:p>
        </w:tc>
        <w:tc>
          <w:tcPr>
            <w:tcW w:w="524"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center"/>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个</w:t>
            </w:r>
          </w:p>
        </w:tc>
        <w:tc>
          <w:tcPr>
            <w:tcW w:w="629"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center"/>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2</w:t>
            </w:r>
          </w:p>
        </w:tc>
      </w:tr>
    </w:tbl>
    <w:p>
      <w:pPr>
        <w:pageBreakBefore w:val="0"/>
        <w:widowControl w:val="0"/>
        <w:kinsoku/>
        <w:wordWrap/>
        <w:overflowPunct/>
        <w:topLinePunct w:val="0"/>
        <w:bidi w:val="0"/>
        <w:spacing w:line="520" w:lineRule="exact"/>
        <w:rPr>
          <w:rFonts w:hint="default" w:ascii="Times New Roman" w:hAnsi="Times New Roman" w:eastAsia="宋体" w:cs="Times New Roman"/>
          <w:b/>
          <w:bCs/>
          <w:sz w:val="24"/>
          <w:szCs w:val="24"/>
          <w:highlight w:val="none"/>
          <w:lang w:val="en-US" w:eastAsia="zh-CN"/>
        </w:rPr>
      </w:pPr>
      <w:r>
        <w:rPr>
          <w:rFonts w:hint="default" w:ascii="Times New Roman" w:hAnsi="Times New Roman" w:eastAsia="宋体" w:cs="Times New Roman"/>
          <w:b/>
          <w:bCs/>
          <w:sz w:val="24"/>
          <w:szCs w:val="24"/>
          <w:highlight w:val="none"/>
          <w:lang w:val="en-US" w:eastAsia="zh-CN"/>
        </w:rPr>
        <w:t>变更为：</w:t>
      </w:r>
    </w:p>
    <w:tbl>
      <w:tblPr>
        <w:tblStyle w:val="7"/>
        <w:tblW w:w="49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2283"/>
        <w:gridCol w:w="1393"/>
        <w:gridCol w:w="1859"/>
        <w:gridCol w:w="1028"/>
        <w:gridCol w:w="1032"/>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1"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center"/>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11</w:t>
            </w:r>
          </w:p>
        </w:tc>
        <w:tc>
          <w:tcPr>
            <w:tcW w:w="1159"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center"/>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维修操作台</w:t>
            </w:r>
          </w:p>
        </w:tc>
        <w:tc>
          <w:tcPr>
            <w:tcW w:w="707" w:type="pct"/>
            <w:noWrap w:val="0"/>
            <w:vAlign w:val="top"/>
          </w:tcPr>
          <w:p>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center"/>
              <w:rPr>
                <w:rFonts w:hint="default" w:ascii="Times New Roman" w:hAnsi="Times New Roman" w:eastAsia="宋体" w:cs="Times New Roman"/>
                <w:color w:val="auto"/>
                <w:kern w:val="2"/>
                <w:sz w:val="24"/>
                <w:szCs w:val="24"/>
                <w:highlight w:val="none"/>
                <w:lang w:val="en-US" w:eastAsia="zh-CN" w:bidi="ar-SA"/>
              </w:rPr>
            </w:pPr>
          </w:p>
        </w:tc>
        <w:tc>
          <w:tcPr>
            <w:tcW w:w="944" w:type="pct"/>
            <w:noWrap w:val="0"/>
            <w:vAlign w:val="top"/>
          </w:tcPr>
          <w:p>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center"/>
              <w:rPr>
                <w:rFonts w:hint="default" w:ascii="Times New Roman" w:hAnsi="Times New Roman" w:eastAsia="宋体" w:cs="Times New Roman"/>
                <w:color w:val="auto"/>
                <w:kern w:val="2"/>
                <w:sz w:val="24"/>
                <w:szCs w:val="24"/>
                <w:highlight w:val="none"/>
                <w:lang w:val="en-US" w:eastAsia="zh-CN" w:bidi="ar-SA"/>
              </w:rPr>
            </w:pPr>
          </w:p>
        </w:tc>
        <w:tc>
          <w:tcPr>
            <w:tcW w:w="522" w:type="pct"/>
            <w:noWrap w:val="0"/>
            <w:vAlign w:val="top"/>
          </w:tcPr>
          <w:p>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center"/>
              <w:rPr>
                <w:rFonts w:hint="default" w:ascii="Times New Roman" w:hAnsi="Times New Roman" w:eastAsia="宋体" w:cs="Times New Roman"/>
                <w:color w:val="auto"/>
                <w:kern w:val="2"/>
                <w:sz w:val="24"/>
                <w:szCs w:val="24"/>
                <w:highlight w:val="none"/>
                <w:lang w:val="en-US" w:eastAsia="zh-CN" w:bidi="ar-SA"/>
              </w:rPr>
            </w:pPr>
          </w:p>
        </w:tc>
        <w:tc>
          <w:tcPr>
            <w:tcW w:w="524"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center"/>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个</w:t>
            </w:r>
          </w:p>
        </w:tc>
        <w:tc>
          <w:tcPr>
            <w:tcW w:w="629"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center"/>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1</w:t>
            </w:r>
          </w:p>
        </w:tc>
      </w:tr>
    </w:tbl>
    <w:p>
      <w:pPr>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b/>
          <w:bCs/>
          <w:color w:val="auto"/>
          <w:sz w:val="24"/>
          <w:szCs w:val="24"/>
          <w:highlight w:val="none"/>
        </w:rPr>
      </w:pP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b w:val="0"/>
          <w:bCs w:val="0"/>
          <w:color w:val="auto"/>
          <w:sz w:val="24"/>
          <w:szCs w:val="24"/>
          <w:highlight w:val="none"/>
          <w:lang w:val="en-US" w:eastAsia="zh-CN"/>
        </w:rPr>
      </w:pPr>
      <w:r>
        <w:rPr>
          <w:rFonts w:hint="eastAsia" w:ascii="Times New Roman" w:hAnsi="Times New Roman" w:cs="Times New Roman"/>
          <w:b w:val="0"/>
          <w:bCs w:val="0"/>
          <w:color w:val="auto"/>
          <w:sz w:val="24"/>
          <w:szCs w:val="24"/>
          <w:highlight w:val="none"/>
          <w:lang w:val="en-US" w:eastAsia="zh-CN"/>
        </w:rPr>
        <w:t>5、</w:t>
      </w:r>
      <w:r>
        <w:rPr>
          <w:rFonts w:hint="eastAsia" w:ascii="Times New Roman" w:hAnsi="Times New Roman" w:eastAsia="宋体" w:cs="Times New Roman"/>
          <w:sz w:val="24"/>
          <w:szCs w:val="24"/>
          <w:highlight w:val="none"/>
          <w:lang w:val="en-US" w:eastAsia="zh-CN"/>
        </w:rPr>
        <w:t>本项目设置最高限价，最高限价为到项目现场完税价或DDP买方项目现场价</w:t>
      </w:r>
      <w:r>
        <w:rPr>
          <w:rFonts w:hint="eastAsia" w:ascii="Times New Roman" w:hAnsi="Times New Roman" w:cs="Times New Roman"/>
          <w:sz w:val="24"/>
          <w:szCs w:val="24"/>
          <w:highlight w:val="none"/>
          <w:lang w:val="en-US" w:eastAsia="zh-CN"/>
        </w:rPr>
        <w:t>7213.30</w:t>
      </w:r>
      <w:r>
        <w:rPr>
          <w:rFonts w:hint="eastAsia" w:ascii="Times New Roman" w:hAnsi="Times New Roman" w:eastAsia="宋体" w:cs="Times New Roman"/>
          <w:sz w:val="24"/>
          <w:szCs w:val="24"/>
          <w:highlight w:val="none"/>
          <w:lang w:val="en-US" w:eastAsia="zh-CN"/>
        </w:rPr>
        <w:t>万元人民币。若投标报价不是到项目现场完税价或DDP买方项目现场价，其投标将被否决；若投标货币为外币，按照开标当日中国银行总行首次发布的外币对人民币的现汇卖出价将投标总报价折算成人民币金额，再与最高限价比较，折算后的投标总报价人民币金额超过最高限价的，其投标将被否决。</w:t>
      </w:r>
    </w:p>
    <w:p>
      <w:pPr>
        <w:rPr>
          <w:rFonts w:hint="eastAsia" w:ascii="Times New Roman" w:hAnsi="Times New Roman" w:cs="Times New Roman"/>
          <w:b w:val="0"/>
          <w:bCs w:val="0"/>
          <w:color w:val="auto"/>
          <w:sz w:val="24"/>
          <w:szCs w:val="24"/>
          <w:highlight w:val="none"/>
          <w:lang w:val="en-US" w:eastAsia="zh-CN"/>
        </w:rPr>
      </w:pPr>
    </w:p>
    <w:p>
      <w:pPr>
        <w:pStyle w:val="2"/>
        <w:rPr>
          <w:rFonts w:hint="eastAsia"/>
          <w:highlight w:val="none"/>
          <w:lang w:val="en-US" w:eastAsia="zh-CN"/>
        </w:rPr>
      </w:pPr>
    </w:p>
    <w:p>
      <w:pPr>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b/>
          <w:bCs/>
          <w:color w:val="auto"/>
          <w:sz w:val="24"/>
          <w:szCs w:val="24"/>
          <w:highlight w:val="none"/>
        </w:rPr>
        <w:t>说明：</w:t>
      </w:r>
      <w:r>
        <w:rPr>
          <w:rFonts w:hint="default" w:ascii="Times New Roman" w:hAnsi="Times New Roman" w:eastAsia="宋体" w:cs="Times New Roman"/>
          <w:b w:val="0"/>
          <w:bCs w:val="0"/>
          <w:sz w:val="24"/>
          <w:szCs w:val="24"/>
          <w:highlight w:val="none"/>
        </w:rPr>
        <w:t>以上</w:t>
      </w:r>
      <w:r>
        <w:rPr>
          <w:rFonts w:hint="default" w:ascii="Times New Roman" w:hAnsi="Times New Roman" w:eastAsia="宋体" w:cs="Times New Roman"/>
          <w:b w:val="0"/>
          <w:bCs w:val="0"/>
          <w:sz w:val="24"/>
          <w:szCs w:val="24"/>
          <w:highlight w:val="none"/>
          <w:lang w:val="en-US" w:eastAsia="zh-CN"/>
        </w:rPr>
        <w:t>变更公告</w:t>
      </w:r>
      <w:r>
        <w:rPr>
          <w:rFonts w:hint="default" w:ascii="Times New Roman" w:hAnsi="Times New Roman" w:eastAsia="宋体" w:cs="Times New Roman"/>
          <w:b w:val="0"/>
          <w:bCs w:val="0"/>
          <w:sz w:val="24"/>
          <w:szCs w:val="24"/>
          <w:highlight w:val="none"/>
        </w:rPr>
        <w:t>内容为招标文件的</w:t>
      </w:r>
      <w:r>
        <w:rPr>
          <w:rFonts w:hint="default" w:ascii="Times New Roman" w:hAnsi="Times New Roman" w:eastAsia="宋体" w:cs="Times New Roman"/>
          <w:b w:val="0"/>
          <w:bCs w:val="0"/>
          <w:sz w:val="24"/>
          <w:szCs w:val="24"/>
          <w:highlight w:val="none"/>
          <w:lang w:val="en-US" w:eastAsia="zh-CN"/>
        </w:rPr>
        <w:t>组成</w:t>
      </w:r>
      <w:r>
        <w:rPr>
          <w:rFonts w:hint="default" w:ascii="Times New Roman" w:hAnsi="Times New Roman" w:eastAsia="宋体" w:cs="Times New Roman"/>
          <w:b w:val="0"/>
          <w:bCs w:val="0"/>
          <w:sz w:val="24"/>
          <w:szCs w:val="24"/>
          <w:highlight w:val="none"/>
        </w:rPr>
        <w:t>部分，与招标文件内容不一致</w:t>
      </w:r>
      <w:r>
        <w:rPr>
          <w:rFonts w:hint="default" w:ascii="Times New Roman" w:hAnsi="Times New Roman" w:eastAsia="宋体" w:cs="Times New Roman"/>
          <w:b w:val="0"/>
          <w:bCs w:val="0"/>
          <w:sz w:val="24"/>
          <w:szCs w:val="24"/>
          <w:highlight w:val="none"/>
          <w:lang w:val="en-US" w:eastAsia="zh-CN"/>
        </w:rPr>
        <w:t>的</w:t>
      </w:r>
      <w:r>
        <w:rPr>
          <w:rFonts w:hint="default" w:ascii="Times New Roman" w:hAnsi="Times New Roman" w:eastAsia="宋体" w:cs="Times New Roman"/>
          <w:b w:val="0"/>
          <w:bCs w:val="0"/>
          <w:sz w:val="24"/>
          <w:szCs w:val="24"/>
          <w:highlight w:val="none"/>
        </w:rPr>
        <w:t>，以本</w:t>
      </w:r>
      <w:r>
        <w:rPr>
          <w:rFonts w:hint="default" w:ascii="Times New Roman" w:hAnsi="Times New Roman" w:eastAsia="宋体" w:cs="Times New Roman"/>
          <w:b w:val="0"/>
          <w:bCs w:val="0"/>
          <w:sz w:val="24"/>
          <w:szCs w:val="24"/>
          <w:highlight w:val="none"/>
          <w:lang w:val="en-US" w:eastAsia="zh-CN"/>
        </w:rPr>
        <w:t>变更公告</w:t>
      </w:r>
      <w:r>
        <w:rPr>
          <w:rFonts w:hint="default" w:ascii="Times New Roman" w:hAnsi="Times New Roman" w:eastAsia="宋体" w:cs="Times New Roman"/>
          <w:b w:val="0"/>
          <w:bCs w:val="0"/>
          <w:sz w:val="24"/>
          <w:szCs w:val="24"/>
          <w:highlight w:val="none"/>
        </w:rPr>
        <w:t>内容为准。</w:t>
      </w:r>
      <w:r>
        <w:rPr>
          <w:rFonts w:hint="default" w:ascii="Times New Roman" w:hAnsi="Times New Roman" w:eastAsia="宋体" w:cs="Times New Roman"/>
          <w:b w:val="0"/>
          <w:bCs w:val="0"/>
          <w:sz w:val="24"/>
          <w:szCs w:val="24"/>
          <w:highlight w:val="none"/>
          <w:lang w:val="en-US" w:eastAsia="zh-CN"/>
        </w:rPr>
        <w:t>一经www.ebnew.com发布，视</w:t>
      </w:r>
      <w:bookmarkStart w:id="0" w:name="_GoBack"/>
      <w:bookmarkEnd w:id="0"/>
      <w:r>
        <w:rPr>
          <w:rFonts w:hint="default" w:ascii="Times New Roman" w:hAnsi="Times New Roman" w:eastAsia="宋体" w:cs="Times New Roman"/>
          <w:b w:val="0"/>
          <w:bCs w:val="0"/>
          <w:sz w:val="24"/>
          <w:szCs w:val="24"/>
          <w:highlight w:val="none"/>
          <w:lang w:val="en-US" w:eastAsia="zh-CN"/>
        </w:rPr>
        <w:t>为潜在投标人知晓该全部内容。</w:t>
      </w:r>
    </w:p>
    <w:p>
      <w:pPr>
        <w:pageBreakBefore w:val="0"/>
        <w:widowControl w:val="0"/>
        <w:kinsoku/>
        <w:wordWrap/>
        <w:overflowPunct/>
        <w:topLinePunct w:val="0"/>
        <w:autoSpaceDE/>
        <w:autoSpaceDN/>
        <w:bidi w:val="0"/>
        <w:adjustRightInd/>
        <w:snapToGrid/>
        <w:spacing w:line="520" w:lineRule="exact"/>
        <w:jc w:val="right"/>
        <w:textAlignment w:val="auto"/>
        <w:rPr>
          <w:rFonts w:hint="default" w:ascii="Times New Roman" w:hAnsi="Times New Roman" w:eastAsia="宋体" w:cs="Times New Roman"/>
          <w:color w:val="auto"/>
          <w:sz w:val="24"/>
          <w:szCs w:val="24"/>
          <w:highlight w:val="none"/>
        </w:rPr>
      </w:pPr>
    </w:p>
    <w:p>
      <w:pPr>
        <w:pageBreakBefore w:val="0"/>
        <w:widowControl w:val="0"/>
        <w:kinsoku/>
        <w:wordWrap/>
        <w:overflowPunct/>
        <w:topLinePunct w:val="0"/>
        <w:autoSpaceDE/>
        <w:autoSpaceDN/>
        <w:bidi w:val="0"/>
        <w:adjustRightInd/>
        <w:snapToGrid/>
        <w:spacing w:line="520" w:lineRule="exact"/>
        <w:jc w:val="right"/>
        <w:textAlignment w:val="auto"/>
        <w:rPr>
          <w:rFonts w:hint="default" w:ascii="Times New Roman" w:hAnsi="Times New Roman" w:eastAsia="宋体" w:cs="Times New Roman"/>
          <w:color w:val="auto"/>
          <w:sz w:val="24"/>
          <w:szCs w:val="24"/>
          <w:highlight w:val="none"/>
        </w:rPr>
      </w:pPr>
    </w:p>
    <w:p>
      <w:pPr>
        <w:pageBreakBefore w:val="0"/>
        <w:widowControl w:val="0"/>
        <w:kinsoku/>
        <w:wordWrap/>
        <w:overflowPunct/>
        <w:topLinePunct w:val="0"/>
        <w:autoSpaceDE/>
        <w:autoSpaceDN/>
        <w:bidi w:val="0"/>
        <w:adjustRightInd/>
        <w:snapToGrid/>
        <w:spacing w:line="520" w:lineRule="exact"/>
        <w:jc w:val="right"/>
        <w:textAlignment w:val="auto"/>
        <w:rPr>
          <w:rFonts w:hint="default"/>
          <w:highlight w:val="none"/>
          <w:lang w:eastAsia="zh-CN"/>
        </w:rPr>
      </w:pPr>
      <w:r>
        <w:rPr>
          <w:rFonts w:hint="default" w:ascii="Times New Roman" w:hAnsi="Times New Roman" w:eastAsia="宋体" w:cs="Times New Roman"/>
          <w:color w:val="auto"/>
          <w:sz w:val="24"/>
          <w:szCs w:val="24"/>
          <w:highlight w:val="none"/>
        </w:rPr>
        <w:t>招标人：</w:t>
      </w:r>
      <w:r>
        <w:rPr>
          <w:rFonts w:hint="default" w:ascii="Times New Roman" w:hAnsi="Times New Roman" w:eastAsia="宋体" w:cs="Times New Roman"/>
          <w:color w:val="auto"/>
          <w:sz w:val="24"/>
          <w:szCs w:val="24"/>
          <w:highlight w:val="none"/>
          <w:lang w:eastAsia="zh-CN"/>
        </w:rPr>
        <w:t>重庆机场集团有限公司</w:t>
      </w:r>
    </w:p>
    <w:p>
      <w:pPr>
        <w:pageBreakBefore w:val="0"/>
        <w:widowControl w:val="0"/>
        <w:kinsoku/>
        <w:wordWrap/>
        <w:overflowPunct/>
        <w:topLinePunct w:val="0"/>
        <w:autoSpaceDE/>
        <w:autoSpaceDN/>
        <w:bidi w:val="0"/>
        <w:adjustRightInd/>
        <w:snapToGrid/>
        <w:spacing w:line="520" w:lineRule="exact"/>
        <w:jc w:val="right"/>
        <w:textAlignment w:val="auto"/>
        <w:rPr>
          <w:rFonts w:hint="default"/>
          <w:highlight w:val="none"/>
        </w:rPr>
      </w:pPr>
      <w:r>
        <w:rPr>
          <w:rFonts w:hint="default" w:ascii="Times New Roman" w:hAnsi="Times New Roman" w:eastAsia="宋体" w:cs="Times New Roman"/>
          <w:color w:val="auto"/>
          <w:sz w:val="24"/>
          <w:szCs w:val="24"/>
          <w:highlight w:val="none"/>
        </w:rPr>
        <w:t>招标代理机构：重庆国际投资咨询集团有限公司</w:t>
      </w:r>
    </w:p>
    <w:p>
      <w:pPr>
        <w:pageBreakBefore w:val="0"/>
        <w:widowControl w:val="0"/>
        <w:kinsoku/>
        <w:wordWrap/>
        <w:overflowPunct/>
        <w:topLinePunct w:val="0"/>
        <w:autoSpaceDE/>
        <w:autoSpaceDN/>
        <w:bidi w:val="0"/>
        <w:adjustRightInd/>
        <w:snapToGrid/>
        <w:spacing w:line="520" w:lineRule="exact"/>
        <w:jc w:val="right"/>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2024年</w:t>
      </w:r>
      <w:r>
        <w:rPr>
          <w:rFonts w:hint="default" w:ascii="Times New Roman" w:hAnsi="Times New Roman" w:eastAsia="宋体" w:cs="Times New Roman"/>
          <w:color w:val="auto"/>
          <w:sz w:val="24"/>
          <w:szCs w:val="24"/>
          <w:highlight w:val="none"/>
          <w:lang w:val="en-US" w:eastAsia="zh-CN"/>
        </w:rPr>
        <w:t>7</w:t>
      </w:r>
      <w:r>
        <w:rPr>
          <w:rFonts w:hint="default" w:ascii="Times New Roman" w:hAnsi="Times New Roman" w:eastAsia="宋体" w:cs="Times New Roman"/>
          <w:color w:val="auto"/>
          <w:sz w:val="24"/>
          <w:szCs w:val="24"/>
          <w:highlight w:val="none"/>
          <w:lang w:eastAsia="zh-CN"/>
        </w:rPr>
        <w:t>月</w:t>
      </w:r>
      <w:r>
        <w:rPr>
          <w:rFonts w:hint="eastAsia" w:ascii="Times New Roman" w:hAnsi="Times New Roman" w:eastAsia="宋体" w:cs="Times New Roman"/>
          <w:color w:val="auto"/>
          <w:sz w:val="24"/>
          <w:szCs w:val="24"/>
          <w:highlight w:val="none"/>
          <w:lang w:val="en-US" w:eastAsia="zh-CN"/>
        </w:rPr>
        <w:t>23</w:t>
      </w:r>
      <w:r>
        <w:rPr>
          <w:rFonts w:hint="default" w:ascii="Times New Roman" w:hAnsi="Times New Roman" w:eastAsia="宋体" w:cs="Times New Roman"/>
          <w:color w:val="auto"/>
          <w:sz w:val="24"/>
          <w:szCs w:val="24"/>
          <w:highlight w:val="none"/>
          <w:lang w:eastAsia="zh-CN"/>
        </w:rPr>
        <w:t>日</w:t>
      </w:r>
    </w:p>
    <w:sectPr>
      <w:headerReference r:id="rId3" w:type="default"/>
      <w:footerReference r:id="rId4" w:type="default"/>
      <w:pgSz w:w="11906" w:h="16838"/>
      <w:pgMar w:top="1134" w:right="1134"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lvlText w:val=""/>
      <w:lvlJc w:val="left"/>
      <w:pPr>
        <w:tabs>
          <w:tab w:val="left" w:pos="425"/>
        </w:tabs>
        <w:ind w:left="0" w:firstLine="284"/>
      </w:pPr>
    </w:lvl>
    <w:lvl w:ilvl="1" w:tentative="0">
      <w:start w:val="1"/>
      <w:numFmt w:val="chineseCounting"/>
      <w:lvlText w:val="%2、"/>
      <w:lvlJc w:val="left"/>
      <w:pPr>
        <w:tabs>
          <w:tab w:val="left" w:pos="708"/>
        </w:tabs>
        <w:ind w:left="-284" w:firstLine="284"/>
      </w:pPr>
    </w:lvl>
    <w:lvl w:ilvl="2" w:tentative="0">
      <w:start w:val="1"/>
      <w:numFmt w:val="none"/>
      <w:pStyle w:val="3"/>
      <w:lvlText w:val=""/>
      <w:lvlJc w:val="left"/>
      <w:pPr>
        <w:tabs>
          <w:tab w:val="left" w:pos="1418"/>
        </w:tabs>
        <w:ind w:left="0" w:firstLine="284"/>
      </w:pPr>
    </w:lvl>
    <w:lvl w:ilvl="3" w:tentative="0">
      <w:start w:val="1"/>
      <w:numFmt w:val="none"/>
      <w:lvlText w:val=""/>
      <w:lvlJc w:val="left"/>
      <w:pPr>
        <w:tabs>
          <w:tab w:val="left" w:pos="1984"/>
        </w:tabs>
        <w:ind w:left="0" w:firstLine="284"/>
      </w:pPr>
    </w:lvl>
    <w:lvl w:ilvl="4" w:tentative="0">
      <w:start w:val="1"/>
      <w:numFmt w:val="none"/>
      <w:lvlText w:val=""/>
      <w:lvlJc w:val="left"/>
      <w:pPr>
        <w:tabs>
          <w:tab w:val="left" w:pos="2551"/>
        </w:tabs>
        <w:ind w:left="0" w:firstLine="284"/>
      </w:pPr>
    </w:lvl>
    <w:lvl w:ilvl="5" w:tentative="0">
      <w:start w:val="1"/>
      <w:numFmt w:val="none"/>
      <w:lvlText w:val=""/>
      <w:lvlJc w:val="left"/>
      <w:pPr>
        <w:tabs>
          <w:tab w:val="left" w:pos="3260"/>
        </w:tabs>
        <w:ind w:left="0" w:firstLine="284"/>
      </w:pPr>
    </w:lvl>
    <w:lvl w:ilvl="6" w:tentative="0">
      <w:start w:val="1"/>
      <w:numFmt w:val="none"/>
      <w:lvlText w:val=""/>
      <w:lvlJc w:val="left"/>
      <w:pPr>
        <w:tabs>
          <w:tab w:val="left" w:pos="3827"/>
        </w:tabs>
        <w:ind w:left="0" w:firstLine="284"/>
      </w:pPr>
    </w:lvl>
    <w:lvl w:ilvl="7" w:tentative="0">
      <w:start w:val="1"/>
      <w:numFmt w:val="none"/>
      <w:lvlText w:val=""/>
      <w:lvlJc w:val="left"/>
      <w:pPr>
        <w:tabs>
          <w:tab w:val="left" w:pos="4394"/>
        </w:tabs>
        <w:ind w:left="0" w:firstLine="284"/>
      </w:pPr>
    </w:lvl>
    <w:lvl w:ilvl="8" w:tentative="0">
      <w:start w:val="1"/>
      <w:numFmt w:val="none"/>
      <w:lvlText w:val=""/>
      <w:lvlJc w:val="left"/>
      <w:pPr>
        <w:tabs>
          <w:tab w:val="left" w:pos="5102"/>
        </w:tabs>
        <w:ind w:left="0" w:firstLine="2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xNDM3NzU0ZTNlNTAwODgxM2IzYmU0YTZhN2VlYmUifQ=="/>
  </w:docVars>
  <w:rsids>
    <w:rsidRoot w:val="00172A27"/>
    <w:rsid w:val="00026CF0"/>
    <w:rsid w:val="00085A1A"/>
    <w:rsid w:val="000D4458"/>
    <w:rsid w:val="000F12C8"/>
    <w:rsid w:val="001842BF"/>
    <w:rsid w:val="00192A33"/>
    <w:rsid w:val="00262996"/>
    <w:rsid w:val="003313D8"/>
    <w:rsid w:val="004E594F"/>
    <w:rsid w:val="004F772A"/>
    <w:rsid w:val="005D0BD9"/>
    <w:rsid w:val="00602008"/>
    <w:rsid w:val="00612FC4"/>
    <w:rsid w:val="00757372"/>
    <w:rsid w:val="00763C22"/>
    <w:rsid w:val="00845032"/>
    <w:rsid w:val="00852A71"/>
    <w:rsid w:val="008607E5"/>
    <w:rsid w:val="008D7AD1"/>
    <w:rsid w:val="00911246"/>
    <w:rsid w:val="00A56B22"/>
    <w:rsid w:val="00A66060"/>
    <w:rsid w:val="00B75B61"/>
    <w:rsid w:val="00B869A1"/>
    <w:rsid w:val="00C15795"/>
    <w:rsid w:val="00CC2C66"/>
    <w:rsid w:val="00CF63B8"/>
    <w:rsid w:val="00D729D0"/>
    <w:rsid w:val="00DD3E46"/>
    <w:rsid w:val="00E34C55"/>
    <w:rsid w:val="00E67C25"/>
    <w:rsid w:val="00F678D4"/>
    <w:rsid w:val="00F81BB1"/>
    <w:rsid w:val="032A3628"/>
    <w:rsid w:val="04836E5C"/>
    <w:rsid w:val="0AA2400C"/>
    <w:rsid w:val="0AF35B68"/>
    <w:rsid w:val="0EA004AF"/>
    <w:rsid w:val="0EC64D50"/>
    <w:rsid w:val="11A133F7"/>
    <w:rsid w:val="12175656"/>
    <w:rsid w:val="1AB34945"/>
    <w:rsid w:val="1BC55695"/>
    <w:rsid w:val="1EE5500A"/>
    <w:rsid w:val="1F6D7F83"/>
    <w:rsid w:val="200D603A"/>
    <w:rsid w:val="20FE3534"/>
    <w:rsid w:val="214D0918"/>
    <w:rsid w:val="2577622D"/>
    <w:rsid w:val="26330B79"/>
    <w:rsid w:val="26C20735"/>
    <w:rsid w:val="29814C6C"/>
    <w:rsid w:val="29A929F1"/>
    <w:rsid w:val="2B4B0760"/>
    <w:rsid w:val="2BB31CDA"/>
    <w:rsid w:val="2C707555"/>
    <w:rsid w:val="38633653"/>
    <w:rsid w:val="39B92A73"/>
    <w:rsid w:val="3A4F5C56"/>
    <w:rsid w:val="3AA341F9"/>
    <w:rsid w:val="3B6B5AA4"/>
    <w:rsid w:val="3D4142BC"/>
    <w:rsid w:val="45A675BF"/>
    <w:rsid w:val="471A5FD4"/>
    <w:rsid w:val="47DC2A55"/>
    <w:rsid w:val="49627D82"/>
    <w:rsid w:val="49A400F3"/>
    <w:rsid w:val="4A7033BA"/>
    <w:rsid w:val="4E595043"/>
    <w:rsid w:val="51076D7B"/>
    <w:rsid w:val="5414136D"/>
    <w:rsid w:val="5450447D"/>
    <w:rsid w:val="54CE3042"/>
    <w:rsid w:val="54E04485"/>
    <w:rsid w:val="599F2DA0"/>
    <w:rsid w:val="5A9E4325"/>
    <w:rsid w:val="5AB46B8C"/>
    <w:rsid w:val="5C1A5C37"/>
    <w:rsid w:val="5D172AF3"/>
    <w:rsid w:val="5F537679"/>
    <w:rsid w:val="62A34E08"/>
    <w:rsid w:val="664B0980"/>
    <w:rsid w:val="67F557CB"/>
    <w:rsid w:val="6BC53046"/>
    <w:rsid w:val="6EBC1414"/>
    <w:rsid w:val="6FDF10C8"/>
    <w:rsid w:val="70737160"/>
    <w:rsid w:val="74BE1757"/>
    <w:rsid w:val="75E338EB"/>
    <w:rsid w:val="79A27942"/>
    <w:rsid w:val="7BC57718"/>
    <w:rsid w:val="7D122FE7"/>
    <w:rsid w:val="7E9A7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numPr>
        <w:ilvl w:val="2"/>
        <w:numId w:val="1"/>
      </w:numPr>
      <w:spacing w:before="260" w:after="260" w:line="416" w:lineRule="auto"/>
      <w:outlineLvl w:val="2"/>
    </w:pPr>
    <w:rPr>
      <w:rFonts w:ascii="Calibri" w:hAnsi="Calibri" w:cs="Times New Roman"/>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9"/>
      <w:szCs w:val="19"/>
      <w:lang w:val="en-US" w:eastAsia="en-US" w:bidi="ar-SA"/>
    </w:rPr>
  </w:style>
  <w:style w:type="paragraph" w:styleId="4">
    <w:name w:val="annotation text"/>
    <w:basedOn w:val="1"/>
    <w:link w:val="13"/>
    <w:qFormat/>
    <w:uiPriority w:val="0"/>
    <w:pPr>
      <w:autoSpaceDE w:val="0"/>
      <w:autoSpaceDN w:val="0"/>
      <w:adjustRightInd w:val="0"/>
      <w:snapToGrid w:val="0"/>
      <w:spacing w:line="360" w:lineRule="auto"/>
      <w:ind w:firstLine="420"/>
      <w:jc w:val="left"/>
    </w:pPr>
    <w:rPr>
      <w:rFonts w:ascii="Calibri" w:hAnsi="Calibri" w:eastAsia="宋体" w:cs="Times New Roman"/>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styleId="11">
    <w:name w:val="annotation reference"/>
    <w:qFormat/>
    <w:uiPriority w:val="0"/>
    <w:rPr>
      <w:sz w:val="21"/>
      <w:szCs w:val="21"/>
    </w:rPr>
  </w:style>
  <w:style w:type="paragraph" w:styleId="12">
    <w:name w:val="List Paragraph"/>
    <w:basedOn w:val="1"/>
    <w:qFormat/>
    <w:uiPriority w:val="34"/>
    <w:pPr>
      <w:ind w:firstLine="420" w:firstLineChars="200"/>
    </w:pPr>
  </w:style>
  <w:style w:type="character" w:customStyle="1" w:styleId="13">
    <w:name w:val="批注文字 字符"/>
    <w:basedOn w:val="9"/>
    <w:link w:val="4"/>
    <w:qFormat/>
    <w:uiPriority w:val="0"/>
    <w:rPr>
      <w:rFonts w:ascii="Calibri" w:hAnsi="Calibri" w:eastAsia="宋体" w:cs="Times New Roman"/>
    </w:rPr>
  </w:style>
  <w:style w:type="character" w:customStyle="1" w:styleId="14">
    <w:name w:val="页眉 字符"/>
    <w:basedOn w:val="9"/>
    <w:link w:val="6"/>
    <w:qFormat/>
    <w:uiPriority w:val="99"/>
    <w:rPr>
      <w:kern w:val="2"/>
      <w:sz w:val="18"/>
      <w:szCs w:val="18"/>
    </w:rPr>
  </w:style>
  <w:style w:type="character" w:customStyle="1" w:styleId="15">
    <w:name w:val="页脚 字符"/>
    <w:basedOn w:val="9"/>
    <w:link w:val="5"/>
    <w:qFormat/>
    <w:uiPriority w:val="99"/>
    <w:rPr>
      <w:kern w:val="2"/>
      <w:sz w:val="18"/>
      <w:szCs w:val="18"/>
    </w:rPr>
  </w:style>
  <w:style w:type="character" w:customStyle="1" w:styleId="16">
    <w:name w:val="Unresolved Mention"/>
    <w:basedOn w:val="9"/>
    <w:semiHidden/>
    <w:unhideWhenUsed/>
    <w:qFormat/>
    <w:uiPriority w:val="99"/>
    <w:rPr>
      <w:color w:val="605E5C"/>
      <w:shd w:val="clear" w:color="auto" w:fill="E1DFDD"/>
    </w:rPr>
  </w:style>
  <w:style w:type="character" w:customStyle="1" w:styleId="17">
    <w:name w:val="font81"/>
    <w:basedOn w:val="9"/>
    <w:qFormat/>
    <w:uiPriority w:val="0"/>
    <w:rPr>
      <w:rFonts w:ascii="Arial" w:hAnsi="Arial" w:cs="Arial"/>
      <w:color w:val="000000"/>
      <w:sz w:val="24"/>
      <w:szCs w:val="24"/>
      <w:u w:val="none"/>
    </w:rPr>
  </w:style>
  <w:style w:type="character" w:customStyle="1" w:styleId="18">
    <w:name w:val="font21"/>
    <w:basedOn w:val="9"/>
    <w:qFormat/>
    <w:uiPriority w:val="0"/>
    <w:rPr>
      <w:rFonts w:hint="eastAsia" w:ascii="宋体" w:hAnsi="宋体" w:eastAsia="宋体" w:cs="宋体"/>
      <w:color w:val="000000"/>
      <w:sz w:val="24"/>
      <w:szCs w:val="24"/>
      <w:u w:val="none"/>
    </w:rPr>
  </w:style>
  <w:style w:type="character" w:customStyle="1" w:styleId="19">
    <w:name w:val="font91"/>
    <w:basedOn w:val="9"/>
    <w:qFormat/>
    <w:uiPriority w:val="0"/>
    <w:rPr>
      <w:rFonts w:hint="eastAsia" w:ascii="宋体" w:hAnsi="宋体" w:eastAsia="宋体" w:cs="宋体"/>
      <w:color w:val="000000"/>
      <w:sz w:val="24"/>
      <w:szCs w:val="24"/>
      <w:u w:val="none"/>
    </w:rPr>
  </w:style>
  <w:style w:type="character" w:customStyle="1" w:styleId="20">
    <w:name w:val="font01"/>
    <w:basedOn w:val="9"/>
    <w:qFormat/>
    <w:uiPriority w:val="0"/>
    <w:rPr>
      <w:rFonts w:hint="eastAsia" w:ascii="宋体" w:hAnsi="宋体" w:eastAsia="宋体" w:cs="宋体"/>
      <w:color w:val="000000"/>
      <w:sz w:val="24"/>
      <w:szCs w:val="24"/>
      <w:u w:val="none"/>
    </w:rPr>
  </w:style>
  <w:style w:type="character" w:customStyle="1" w:styleId="21">
    <w:name w:val="font101"/>
    <w:basedOn w:val="9"/>
    <w:qFormat/>
    <w:uiPriority w:val="0"/>
    <w:rPr>
      <w:rFonts w:hint="eastAsia" w:ascii="宋体" w:hAnsi="宋体" w:eastAsia="宋体" w:cs="宋体"/>
      <w:color w:val="403ED6"/>
      <w:sz w:val="24"/>
      <w:szCs w:val="24"/>
      <w:u w:val="none"/>
    </w:rPr>
  </w:style>
  <w:style w:type="character" w:customStyle="1" w:styleId="22">
    <w:name w:val="font51"/>
    <w:basedOn w:val="9"/>
    <w:qFormat/>
    <w:uiPriority w:val="0"/>
    <w:rPr>
      <w:rFonts w:hint="eastAsia" w:ascii="宋体" w:hAnsi="宋体" w:eastAsia="宋体" w:cs="宋体"/>
      <w:color w:val="000000"/>
      <w:sz w:val="24"/>
      <w:szCs w:val="24"/>
      <w:u w:val="none"/>
    </w:rPr>
  </w:style>
  <w:style w:type="character" w:customStyle="1" w:styleId="23">
    <w:name w:val="font31"/>
    <w:basedOn w:val="9"/>
    <w:qFormat/>
    <w:uiPriority w:val="0"/>
    <w:rPr>
      <w:rFonts w:hint="eastAsia" w:ascii="宋体" w:hAnsi="宋体" w:eastAsia="宋体" w:cs="宋体"/>
      <w:color w:val="000000"/>
      <w:sz w:val="24"/>
      <w:szCs w:val="24"/>
      <w:u w:val="none"/>
    </w:rPr>
  </w:style>
  <w:style w:type="paragraph" w:customStyle="1" w:styleId="24">
    <w:name w:val="Table Text"/>
    <w:basedOn w:val="1"/>
    <w:semiHidden/>
    <w:qFormat/>
    <w:uiPriority w:val="0"/>
    <w:rPr>
      <w:rFonts w:ascii="宋体" w:hAnsi="宋体" w:eastAsia="宋体" w:cs="宋体"/>
      <w:sz w:val="19"/>
      <w:szCs w:val="19"/>
      <w:lang w:val="en-US" w:eastAsia="en-US" w:bidi="ar-SA"/>
    </w:rPr>
  </w:style>
  <w:style w:type="table" w:customStyle="1" w:styleId="2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1757</Words>
  <Characters>1841</Characters>
  <Lines>12</Lines>
  <Paragraphs>3</Paragraphs>
  <TotalTime>17</TotalTime>
  <ScaleCrop>false</ScaleCrop>
  <LinksUpToDate>false</LinksUpToDate>
  <CharactersWithSpaces>1843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2022-06-06T06:47:00Z</dcterms:created>
  <dc:creator>Microsoft Office User</dc:creator>
  <cp:lastModifiedBy>肖瑶（Betty）</cp:lastModifiedBy>
  <cp:lastPrinted>2022-09-08T09:05:00Z</cp:lastPrinted>
  <dcterms:modified xsi:type="dcterms:W3CDTF">2024-07-23T03:12:54Z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7308AA40378D4894B98A5CF4B44D6740_13</vt:lpwstr>
  </property>
</Properties>
</file>