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b/>
                <w:sz w:val="24"/>
              </w:rPr>
            </w:pPr>
            <w:r>
              <w:rPr>
                <w:rFonts w:hint="eastAsia"/>
                <w:b/>
                <w:sz w:val="24"/>
              </w:rPr>
              <w:t>招标编号：3108-2</w:t>
            </w:r>
            <w:r>
              <w:rPr>
                <w:rFonts w:hint="eastAsia"/>
                <w:b/>
                <w:sz w:val="24"/>
                <w:lang w:val="en-US" w:eastAsia="zh-CN"/>
              </w:rPr>
              <w:t>4</w:t>
            </w:r>
            <w:r>
              <w:rPr>
                <w:rFonts w:hint="eastAsia"/>
                <w:b/>
                <w:sz w:val="24"/>
              </w:rPr>
              <w:t>40003</w:t>
            </w:r>
            <w:r>
              <w:rPr>
                <w:rFonts w:hint="eastAsia"/>
                <w:b/>
                <w:sz w:val="24"/>
                <w:lang w:val="en-US" w:eastAsia="zh-CN"/>
              </w:rPr>
              <w:t>0015</w:t>
            </w:r>
            <w:r>
              <w:rPr>
                <w:rFonts w:hint="eastAsia"/>
                <w:b/>
                <w:sz w:val="24"/>
              </w:rPr>
              <w:t>A</w:t>
            </w:r>
          </w:p>
          <w:p>
            <w:pPr>
              <w:spacing w:line="380" w:lineRule="exact"/>
              <w:jc w:val="left"/>
              <w:rPr>
                <w:rFonts w:hint="eastAsia" w:eastAsia="宋体"/>
                <w:sz w:val="24"/>
                <w:lang w:eastAsia="zh-CN"/>
              </w:rPr>
            </w:pPr>
            <w:r>
              <w:rPr>
                <w:rFonts w:hint="eastAsia"/>
                <w:b/>
                <w:sz w:val="24"/>
              </w:rPr>
              <w:t>项目名称：动力软件仿真测试系统</w:t>
            </w:r>
            <w:r>
              <w:rPr>
                <w:rFonts w:hint="eastAsia"/>
                <w:b/>
                <w:sz w:val="24"/>
                <w:lang w:eastAsia="zh-CN"/>
              </w:rPr>
              <w:t>（</w:t>
            </w:r>
            <w:r>
              <w:rPr>
                <w:rFonts w:hint="eastAsia"/>
                <w:b/>
                <w:sz w:val="24"/>
                <w:lang w:val="en-US" w:eastAsia="zh-CN"/>
              </w:rPr>
              <w:t>第二次</w:t>
            </w:r>
            <w:r>
              <w:rPr>
                <w:rFonts w:hint="eastAsia"/>
                <w:b/>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286492386</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bookmarkStart w:id="3" w:name="_GoBack"/>
      <w:bookmarkEnd w:id="3"/>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包括招标文件澄清问题的书面签字盖章（法定代表人或其授权代表签字，并盖投标人单位公章）扫描件发送至邮箱286492386@qq.com）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CE01720"/>
    <w:rsid w:val="0FF2556F"/>
    <w:rsid w:val="148D120F"/>
    <w:rsid w:val="17860CA4"/>
    <w:rsid w:val="197B02E5"/>
    <w:rsid w:val="19F7517D"/>
    <w:rsid w:val="1BA15F2C"/>
    <w:rsid w:val="1F0C1358"/>
    <w:rsid w:val="234D6D9E"/>
    <w:rsid w:val="24A75502"/>
    <w:rsid w:val="2FB918B5"/>
    <w:rsid w:val="2FFB0711"/>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D1A0E7D"/>
    <w:rsid w:val="5F1D0236"/>
    <w:rsid w:val="663E297F"/>
    <w:rsid w:val="66AF74E4"/>
    <w:rsid w:val="66FC7133"/>
    <w:rsid w:val="67D53516"/>
    <w:rsid w:val="68BA7233"/>
    <w:rsid w:val="695E3720"/>
    <w:rsid w:val="698013A4"/>
    <w:rsid w:val="6ACB7552"/>
    <w:rsid w:val="6B6445A1"/>
    <w:rsid w:val="6D8E1C15"/>
    <w:rsid w:val="6F343355"/>
    <w:rsid w:val="6FAF4033"/>
    <w:rsid w:val="7535447A"/>
    <w:rsid w:val="764B1AA7"/>
    <w:rsid w:val="77BA1588"/>
    <w:rsid w:val="77F91EB5"/>
    <w:rsid w:val="783B415B"/>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NTKO</cp:lastModifiedBy>
  <dcterms:modified xsi:type="dcterms:W3CDTF">2024-07-11T06:29:37Z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