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ageBreakBefore w:val="0"/>
        <w:widowControl w:val="0"/>
        <w:kinsoku/>
        <w:wordWrap/>
        <w:overflowPunct/>
        <w:topLinePunct w:val="0"/>
        <w:autoSpaceDE/>
        <w:autoSpaceDN/>
        <w:bidi w:val="0"/>
        <w:adjustRightInd/>
        <w:snapToGrid/>
        <w:spacing w:line="520" w:lineRule="exact"/>
        <w:ind w:left="360" w:hanging="360"/>
        <w:jc w:val="center"/>
        <w:textAlignment w:val="auto"/>
        <w:rPr>
          <w:rFonts w:hint="default" w:ascii="Times New Roman" w:hAnsi="Times New Roman" w:eastAsia="宋体" w:cs="Times New Roman"/>
          <w:b/>
          <w:bCs/>
          <w:color w:val="auto"/>
          <w:sz w:val="24"/>
          <w:szCs w:val="24"/>
          <w:highlight w:val="none"/>
          <w:lang w:eastAsia="zh-CN"/>
        </w:rPr>
      </w:pPr>
      <w:r>
        <w:rPr>
          <w:rFonts w:hint="default" w:ascii="Times New Roman" w:hAnsi="Times New Roman" w:eastAsia="宋体" w:cs="Times New Roman"/>
          <w:b/>
          <w:bCs/>
          <w:color w:val="auto"/>
          <w:sz w:val="24"/>
          <w:szCs w:val="24"/>
          <w:highlight w:val="none"/>
          <w:lang w:eastAsia="zh-CN"/>
        </w:rPr>
        <w:t>重庆江北国际机场T3B航站楼及第四跑道工程安检探测及防爆设备采购及安装项目</w:t>
      </w:r>
    </w:p>
    <w:p>
      <w:pPr>
        <w:pageBreakBefore w:val="0"/>
        <w:widowControl w:val="0"/>
        <w:kinsoku/>
        <w:wordWrap/>
        <w:overflowPunct/>
        <w:topLinePunct w:val="0"/>
        <w:autoSpaceDE/>
        <w:autoSpaceDN/>
        <w:bidi w:val="0"/>
        <w:adjustRightInd/>
        <w:snapToGrid/>
        <w:spacing w:line="520" w:lineRule="exact"/>
        <w:ind w:left="360" w:hanging="360"/>
        <w:jc w:val="center"/>
        <w:textAlignment w:val="auto"/>
        <w:rPr>
          <w:rFonts w:hint="default" w:ascii="Times New Roman" w:hAnsi="Times New Roman" w:eastAsia="宋体" w:cs="Times New Roman"/>
          <w:b/>
          <w:bCs/>
          <w:color w:val="auto"/>
          <w:sz w:val="24"/>
          <w:szCs w:val="24"/>
          <w:highlight w:val="none"/>
          <w:lang w:val="en-US" w:eastAsia="zh-CN"/>
        </w:rPr>
      </w:pPr>
      <w:r>
        <w:rPr>
          <w:rFonts w:hint="default" w:ascii="Times New Roman" w:hAnsi="Times New Roman" w:eastAsia="宋体" w:cs="Times New Roman"/>
          <w:b/>
          <w:bCs/>
          <w:color w:val="auto"/>
          <w:sz w:val="24"/>
          <w:szCs w:val="24"/>
          <w:highlight w:val="none"/>
        </w:rPr>
        <w:t>招标</w:t>
      </w:r>
      <w:r>
        <w:rPr>
          <w:rFonts w:hint="default" w:ascii="Times New Roman" w:hAnsi="Times New Roman" w:eastAsia="宋体" w:cs="Times New Roman"/>
          <w:b/>
          <w:bCs/>
          <w:color w:val="auto"/>
          <w:sz w:val="24"/>
          <w:szCs w:val="24"/>
          <w:highlight w:val="none"/>
          <w:lang w:val="en-US" w:eastAsia="zh-CN"/>
        </w:rPr>
        <w:t>文件答疑</w:t>
      </w:r>
      <w:r>
        <w:rPr>
          <w:rFonts w:hint="eastAsia" w:ascii="Times New Roman" w:hAnsi="Times New Roman" w:eastAsia="宋体" w:cs="Times New Roman"/>
          <w:b/>
          <w:bCs/>
          <w:color w:val="auto"/>
          <w:sz w:val="24"/>
          <w:szCs w:val="24"/>
          <w:highlight w:val="none"/>
          <w:lang w:val="en-US" w:eastAsia="zh-CN"/>
        </w:rPr>
        <w:t>澄清</w:t>
      </w:r>
      <w:r>
        <w:rPr>
          <w:rFonts w:hint="default" w:ascii="Times New Roman" w:hAnsi="Times New Roman" w:eastAsia="宋体" w:cs="Times New Roman"/>
          <w:b/>
          <w:bCs/>
          <w:color w:val="auto"/>
          <w:sz w:val="24"/>
          <w:szCs w:val="24"/>
          <w:highlight w:val="none"/>
          <w:lang w:val="en-US" w:eastAsia="zh-CN"/>
        </w:rPr>
        <w:t>通知</w:t>
      </w:r>
    </w:p>
    <w:p>
      <w:pPr>
        <w:pageBreakBefore w:val="0"/>
        <w:widowControl w:val="0"/>
        <w:kinsoku/>
        <w:wordWrap/>
        <w:overflowPunct/>
        <w:topLinePunct w:val="0"/>
        <w:autoSpaceDE/>
        <w:autoSpaceDN/>
        <w:bidi w:val="0"/>
        <w:adjustRightInd/>
        <w:snapToGrid/>
        <w:spacing w:line="520" w:lineRule="exact"/>
        <w:ind w:left="360" w:hanging="360"/>
        <w:textAlignment w:val="auto"/>
        <w:rPr>
          <w:rFonts w:hint="default" w:ascii="Times New Roman" w:hAnsi="Times New Roman" w:eastAsia="宋体" w:cs="Times New Roman"/>
          <w:b/>
          <w:bCs/>
          <w:color w:val="auto"/>
          <w:sz w:val="24"/>
          <w:szCs w:val="24"/>
          <w:highlight w:val="none"/>
        </w:rPr>
      </w:pPr>
      <w:r>
        <w:rPr>
          <w:rFonts w:hint="default" w:ascii="Times New Roman" w:hAnsi="Times New Roman" w:eastAsia="宋体" w:cs="Times New Roman"/>
          <w:b/>
          <w:bCs/>
          <w:color w:val="auto"/>
          <w:sz w:val="24"/>
          <w:szCs w:val="24"/>
          <w:highlight w:val="none"/>
        </w:rPr>
        <w:t>潜在投标人：</w:t>
      </w:r>
    </w:p>
    <w:p>
      <w:pPr>
        <w:pageBreakBefore w:val="0"/>
        <w:widowControl w:val="0"/>
        <w:kinsoku/>
        <w:wordWrap/>
        <w:overflowPunct/>
        <w:topLinePunct w:val="0"/>
        <w:autoSpaceDE/>
        <w:autoSpaceDN/>
        <w:bidi w:val="0"/>
        <w:adjustRightInd/>
        <w:snapToGrid/>
        <w:spacing w:line="520" w:lineRule="exact"/>
        <w:ind w:firstLine="480" w:firstLineChars="200"/>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eastAsia="zh-CN"/>
        </w:rPr>
        <w:t>重庆江北国际机场T3B航站楼及第四跑道工程安检探测及防爆设备采购及安装项目</w:t>
      </w:r>
      <w:r>
        <w:rPr>
          <w:rFonts w:hint="default" w:ascii="Times New Roman" w:hAnsi="Times New Roman" w:eastAsia="宋体" w:cs="Times New Roman"/>
          <w:color w:val="auto"/>
          <w:sz w:val="24"/>
          <w:szCs w:val="24"/>
          <w:highlight w:val="none"/>
        </w:rPr>
        <w:t>（招标编号：</w:t>
      </w:r>
      <w:r>
        <w:rPr>
          <w:rFonts w:hint="default" w:ascii="Times New Roman" w:hAnsi="Times New Roman" w:eastAsia="宋体" w:cs="Times New Roman"/>
          <w:color w:val="auto"/>
          <w:sz w:val="24"/>
          <w:szCs w:val="24"/>
          <w:highlight w:val="none"/>
          <w:lang w:eastAsia="zh-CN"/>
        </w:rPr>
        <w:t>3108-24400140021A/04</w:t>
      </w:r>
      <w:r>
        <w:rPr>
          <w:rFonts w:hint="default" w:ascii="Times New Roman" w:hAnsi="Times New Roman" w:eastAsia="宋体" w:cs="Times New Roman"/>
          <w:color w:val="auto"/>
          <w:sz w:val="24"/>
          <w:szCs w:val="24"/>
          <w:highlight w:val="none"/>
        </w:rPr>
        <w:t>），</w:t>
      </w:r>
      <w:r>
        <w:rPr>
          <w:rFonts w:hint="eastAsia" w:ascii="Times New Roman" w:hAnsi="Times New Roman" w:eastAsia="宋体" w:cs="Times New Roman"/>
          <w:color w:val="auto"/>
          <w:sz w:val="24"/>
          <w:szCs w:val="24"/>
          <w:highlight w:val="none"/>
          <w:lang w:val="en-US" w:eastAsia="zh-CN"/>
        </w:rPr>
        <w:t>对潜在投标人提出的招标文件疑问，答复并澄清</w:t>
      </w:r>
      <w:r>
        <w:rPr>
          <w:rFonts w:hint="default" w:ascii="Times New Roman" w:hAnsi="Times New Roman" w:eastAsia="宋体" w:cs="Times New Roman"/>
          <w:color w:val="auto"/>
          <w:sz w:val="24"/>
          <w:szCs w:val="24"/>
          <w:highlight w:val="none"/>
          <w:lang w:val="en-US" w:eastAsia="zh-CN"/>
        </w:rPr>
        <w:t>通知如下</w:t>
      </w:r>
      <w:r>
        <w:rPr>
          <w:rFonts w:hint="default" w:ascii="Times New Roman" w:hAnsi="Times New Roman" w:eastAsia="宋体" w:cs="Times New Roman"/>
          <w:color w:val="auto"/>
          <w:sz w:val="24"/>
          <w:szCs w:val="24"/>
          <w:highlight w:val="none"/>
          <w:lang w:eastAsia="zh-CN"/>
        </w:rPr>
        <w:t>：</w:t>
      </w:r>
    </w:p>
    <w:p>
      <w:pPr>
        <w:pageBreakBefore w:val="0"/>
        <w:widowControl w:val="0"/>
        <w:kinsoku/>
        <w:wordWrap/>
        <w:overflowPunct/>
        <w:topLinePunct w:val="0"/>
        <w:autoSpaceDE/>
        <w:autoSpaceDN/>
        <w:bidi w:val="0"/>
        <w:adjustRightInd/>
        <w:snapToGrid/>
        <w:spacing w:line="520" w:lineRule="exact"/>
        <w:ind w:left="0" w:leftChars="0" w:firstLine="0" w:firstLineChars="0"/>
        <w:jc w:val="left"/>
        <w:textAlignment w:val="auto"/>
        <w:rPr>
          <w:rFonts w:hint="default" w:ascii="Times New Roman" w:hAnsi="Times New Roman" w:eastAsia="宋体" w:cs="Times New Roman"/>
          <w:b/>
          <w:bCs w:val="0"/>
          <w:color w:val="000000"/>
          <w:kern w:val="0"/>
          <w:sz w:val="24"/>
          <w:szCs w:val="24"/>
          <w:highlight w:val="none"/>
          <w:lang w:bidi="ar"/>
        </w:rPr>
      </w:pPr>
      <w:r>
        <w:rPr>
          <w:rFonts w:hint="default" w:ascii="Times New Roman" w:hAnsi="Times New Roman" w:eastAsia="宋体" w:cs="Times New Roman"/>
          <w:b/>
          <w:bCs w:val="0"/>
          <w:sz w:val="24"/>
          <w:szCs w:val="24"/>
          <w:highlight w:val="none"/>
        </w:rPr>
        <w:t>一、答疑部分</w:t>
      </w:r>
      <w:r>
        <w:rPr>
          <w:rFonts w:hint="default" w:ascii="Times New Roman" w:hAnsi="Times New Roman" w:eastAsia="宋体" w:cs="Times New Roman"/>
          <w:b/>
          <w:bCs w:val="0"/>
          <w:sz w:val="24"/>
          <w:szCs w:val="24"/>
          <w:highlight w:val="none"/>
          <w:lang w:eastAsia="zh-CN"/>
        </w:rPr>
        <w:t>（</w:t>
      </w:r>
      <w:r>
        <w:rPr>
          <w:rFonts w:hint="default" w:ascii="Times New Roman" w:hAnsi="Times New Roman" w:eastAsia="宋体" w:cs="Times New Roman"/>
          <w:b/>
          <w:bCs w:val="0"/>
          <w:sz w:val="24"/>
          <w:szCs w:val="24"/>
          <w:highlight w:val="none"/>
          <w:lang w:val="en-US" w:eastAsia="zh-CN"/>
        </w:rPr>
        <w:t>共5条</w:t>
      </w:r>
      <w:r>
        <w:rPr>
          <w:rFonts w:hint="default" w:ascii="Times New Roman" w:hAnsi="Times New Roman" w:eastAsia="宋体" w:cs="Times New Roman"/>
          <w:b/>
          <w:bCs w:val="0"/>
          <w:sz w:val="24"/>
          <w:szCs w:val="24"/>
          <w:highlight w:val="none"/>
          <w:lang w:eastAsia="zh-CN"/>
        </w:rPr>
        <w:t>）</w:t>
      </w:r>
      <w:r>
        <w:rPr>
          <w:rFonts w:hint="default" w:ascii="Times New Roman" w:hAnsi="Times New Roman" w:eastAsia="宋体" w:cs="Times New Roman"/>
          <w:b/>
          <w:bCs w:val="0"/>
          <w:sz w:val="24"/>
          <w:szCs w:val="24"/>
          <w:highlight w:val="none"/>
        </w:rPr>
        <w:t>：</w:t>
      </w:r>
    </w:p>
    <w:p>
      <w:pPr>
        <w:pageBreakBefore w:val="0"/>
        <w:widowControl w:val="0"/>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bCs/>
          <w:color w:val="auto"/>
          <w:kern w:val="2"/>
          <w:sz w:val="24"/>
          <w:szCs w:val="24"/>
          <w:highlight w:val="none"/>
          <w:lang w:val="en-US" w:eastAsia="zh-CN" w:bidi="ar-SA"/>
        </w:rPr>
      </w:pPr>
      <w:r>
        <w:rPr>
          <w:rFonts w:hint="default" w:ascii="Times New Roman" w:hAnsi="Times New Roman" w:eastAsia="宋体" w:cs="Times New Roman"/>
          <w:color w:val="auto"/>
          <w:sz w:val="24"/>
          <w:szCs w:val="24"/>
          <w:highlight w:val="none"/>
          <w:lang w:val="en-US" w:eastAsia="zh-CN"/>
        </w:rPr>
        <w:t>1、</w:t>
      </w:r>
      <w:r>
        <w:rPr>
          <w:rFonts w:hint="default" w:ascii="Times New Roman" w:hAnsi="Times New Roman" w:eastAsia="宋体" w:cs="Times New Roman"/>
          <w:b/>
          <w:bCs/>
          <w:color w:val="auto"/>
          <w:sz w:val="24"/>
          <w:szCs w:val="24"/>
          <w:highlight w:val="none"/>
          <w:lang w:val="en-US" w:eastAsia="zh-CN"/>
        </w:rPr>
        <w:t>问题：</w:t>
      </w:r>
      <w:r>
        <w:rPr>
          <w:rFonts w:hint="default" w:ascii="Times New Roman" w:hAnsi="Times New Roman" w:eastAsia="宋体" w:cs="Times New Roman"/>
          <w:color w:val="auto"/>
          <w:sz w:val="24"/>
          <w:szCs w:val="24"/>
          <w:highlight w:val="none"/>
          <w:lang w:val="en-US" w:eastAsia="zh-CN"/>
        </w:rPr>
        <w:t>招标</w:t>
      </w:r>
      <w:r>
        <w:rPr>
          <w:rFonts w:hint="default" w:ascii="Times New Roman" w:hAnsi="Times New Roman" w:eastAsia="宋体" w:cs="Times New Roman"/>
          <w:b w:val="0"/>
          <w:bCs w:val="0"/>
          <w:color w:val="auto"/>
          <w:kern w:val="2"/>
          <w:sz w:val="24"/>
          <w:szCs w:val="24"/>
          <w:highlight w:val="none"/>
          <w:lang w:val="en-US" w:eastAsia="zh-CN" w:bidi="ar-SA"/>
        </w:rPr>
        <w:t>要求①：招标文件（第二册），第六章  投标资料表</w:t>
      </w:r>
    </w:p>
    <w:p>
      <w:pPr>
        <w:pStyle w:val="3"/>
        <w:pageBreakBefore w:val="0"/>
        <w:widowControl w:val="0"/>
        <w:numPr>
          <w:ilvl w:val="2"/>
          <w:numId w:val="0"/>
        </w:numPr>
        <w:kinsoku/>
        <w:wordWrap/>
        <w:overflowPunct/>
        <w:topLinePunct w:val="0"/>
        <w:autoSpaceDE/>
        <w:autoSpaceDN/>
        <w:bidi w:val="0"/>
        <w:adjustRightInd/>
        <w:snapToGrid/>
        <w:spacing w:before="0" w:after="0" w:line="240" w:lineRule="auto"/>
        <w:textAlignment w:val="auto"/>
        <w:rPr>
          <w:rFonts w:hint="default" w:ascii="Times New Roman" w:hAnsi="Times New Roman" w:eastAsia="宋体" w:cs="Times New Roman"/>
          <w:b w:val="0"/>
          <w:bCs w:val="0"/>
          <w:color w:val="auto"/>
          <w:kern w:val="2"/>
          <w:sz w:val="24"/>
          <w:szCs w:val="24"/>
          <w:highlight w:val="none"/>
          <w:lang w:val="en-US" w:eastAsia="zh-CN" w:bidi="ar-SA"/>
        </w:rPr>
      </w:pPr>
      <w:r>
        <w:rPr>
          <w:rFonts w:hint="default" w:ascii="Times New Roman" w:hAnsi="Times New Roman" w:eastAsia="宋体" w:cs="Times New Roman"/>
          <w:b w:val="0"/>
          <w:bCs w:val="0"/>
          <w:color w:val="auto"/>
          <w:kern w:val="2"/>
          <w:sz w:val="24"/>
          <w:szCs w:val="24"/>
          <w:highlight w:val="none"/>
          <w:lang w:val="en-US" w:eastAsia="zh-CN" w:bidi="ar-SA"/>
        </w:rPr>
        <w:drawing>
          <wp:inline distT="0" distB="0" distL="114300" distR="114300">
            <wp:extent cx="5162550" cy="1504950"/>
            <wp:effectExtent l="0" t="0" r="0" b="0"/>
            <wp:docPr id="1" name="图片 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
                    <pic:cNvPicPr>
                      <a:picLocks noChangeAspect="1"/>
                    </pic:cNvPicPr>
                  </pic:nvPicPr>
                  <pic:blipFill>
                    <a:blip r:embed="rId5"/>
                    <a:stretch>
                      <a:fillRect/>
                    </a:stretch>
                  </pic:blipFill>
                  <pic:spPr>
                    <a:xfrm>
                      <a:off x="0" y="0"/>
                      <a:ext cx="5162550" cy="1504950"/>
                    </a:xfrm>
                    <a:prstGeom prst="rect">
                      <a:avLst/>
                    </a:prstGeom>
                  </pic:spPr>
                </pic:pic>
              </a:graphicData>
            </a:graphic>
          </wp:inline>
        </w:drawing>
      </w:r>
    </w:p>
    <w:p>
      <w:pPr>
        <w:pStyle w:val="3"/>
        <w:pageBreakBefore w:val="0"/>
        <w:widowControl w:val="0"/>
        <w:numPr>
          <w:ilvl w:val="2"/>
          <w:numId w:val="0"/>
        </w:numPr>
        <w:kinsoku/>
        <w:wordWrap/>
        <w:overflowPunct/>
        <w:topLinePunct w:val="0"/>
        <w:autoSpaceDE/>
        <w:autoSpaceDN/>
        <w:bidi w:val="0"/>
        <w:adjustRightInd/>
        <w:snapToGrid/>
        <w:spacing w:before="0" w:after="0" w:line="520" w:lineRule="exact"/>
        <w:textAlignment w:val="auto"/>
        <w:rPr>
          <w:rFonts w:hint="default" w:ascii="Times New Roman" w:hAnsi="Times New Roman" w:eastAsia="宋体" w:cs="Times New Roman"/>
          <w:b w:val="0"/>
          <w:bCs w:val="0"/>
          <w:color w:val="auto"/>
          <w:kern w:val="2"/>
          <w:sz w:val="24"/>
          <w:szCs w:val="24"/>
          <w:highlight w:val="none"/>
          <w:lang w:val="en-US" w:eastAsia="zh-CN" w:bidi="ar-SA"/>
        </w:rPr>
      </w:pPr>
      <w:r>
        <w:rPr>
          <w:rFonts w:hint="default" w:ascii="Times New Roman" w:hAnsi="Times New Roman" w:eastAsia="宋体" w:cs="Times New Roman"/>
          <w:b w:val="0"/>
          <w:bCs w:val="0"/>
          <w:color w:val="auto"/>
          <w:kern w:val="2"/>
          <w:sz w:val="24"/>
          <w:szCs w:val="24"/>
          <w:highlight w:val="none"/>
          <w:lang w:val="en-US" w:eastAsia="zh-CN" w:bidi="ar-SA"/>
        </w:rPr>
        <w:t>招标要求②：招标文件第二册，第七章，质保期保修合同，三、质量保修责任</w:t>
      </w:r>
    </w:p>
    <w:p>
      <w:pPr>
        <w:pageBreakBefore w:val="0"/>
        <w:widowControl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drawing>
          <wp:inline distT="0" distB="0" distL="114300" distR="114300">
            <wp:extent cx="5076825" cy="1228725"/>
            <wp:effectExtent l="0" t="0" r="9525" b="9525"/>
            <wp:docPr id="2" name="图片 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2"/>
                    <pic:cNvPicPr>
                      <a:picLocks noChangeAspect="1"/>
                    </pic:cNvPicPr>
                  </pic:nvPicPr>
                  <pic:blipFill>
                    <a:blip r:embed="rId6"/>
                    <a:stretch>
                      <a:fillRect/>
                    </a:stretch>
                  </pic:blipFill>
                  <pic:spPr>
                    <a:xfrm>
                      <a:off x="0" y="0"/>
                      <a:ext cx="5076825" cy="1228725"/>
                    </a:xfrm>
                    <a:prstGeom prst="rect">
                      <a:avLst/>
                    </a:prstGeom>
                  </pic:spPr>
                </pic:pic>
              </a:graphicData>
            </a:graphic>
          </wp:inline>
        </w:drawing>
      </w:r>
    </w:p>
    <w:p>
      <w:pPr>
        <w:pStyle w:val="3"/>
        <w:pageBreakBefore w:val="0"/>
        <w:widowControl w:val="0"/>
        <w:numPr>
          <w:ilvl w:val="2"/>
          <w:numId w:val="0"/>
        </w:numPr>
        <w:kinsoku/>
        <w:wordWrap/>
        <w:overflowPunct/>
        <w:topLinePunct w:val="0"/>
        <w:autoSpaceDE/>
        <w:autoSpaceDN/>
        <w:bidi w:val="0"/>
        <w:adjustRightInd/>
        <w:snapToGrid/>
        <w:spacing w:before="0" w:after="0" w:line="520" w:lineRule="exact"/>
        <w:textAlignment w:val="auto"/>
        <w:rPr>
          <w:rFonts w:hint="default" w:ascii="Times New Roman" w:hAnsi="Times New Roman" w:eastAsia="宋体" w:cs="Times New Roman"/>
          <w:b w:val="0"/>
          <w:bCs w:val="0"/>
          <w:color w:val="auto"/>
          <w:kern w:val="2"/>
          <w:sz w:val="24"/>
          <w:szCs w:val="24"/>
          <w:highlight w:val="none"/>
          <w:lang w:val="en-US" w:eastAsia="zh-CN" w:bidi="ar-SA"/>
        </w:rPr>
      </w:pPr>
      <w:r>
        <w:rPr>
          <w:rFonts w:hint="default" w:ascii="Times New Roman" w:hAnsi="Times New Roman" w:eastAsia="宋体" w:cs="Times New Roman"/>
          <w:b w:val="0"/>
          <w:bCs w:val="0"/>
          <w:color w:val="auto"/>
          <w:kern w:val="2"/>
          <w:sz w:val="24"/>
          <w:szCs w:val="24"/>
          <w:highlight w:val="none"/>
          <w:lang w:val="en-US" w:eastAsia="zh-CN" w:bidi="ar-SA"/>
        </w:rPr>
        <w:t>招标要求③：招标文件第二册，第八章，1.4.11.3  驻场服务</w:t>
      </w:r>
    </w:p>
    <w:p>
      <w:pPr>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drawing>
          <wp:inline distT="0" distB="0" distL="114300" distR="114300">
            <wp:extent cx="5076825" cy="1514475"/>
            <wp:effectExtent l="0" t="0" r="9525" b="9525"/>
            <wp:docPr id="3" name="图片 3"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3"/>
                    <pic:cNvPicPr>
                      <a:picLocks noChangeAspect="1"/>
                    </pic:cNvPicPr>
                  </pic:nvPicPr>
                  <pic:blipFill>
                    <a:blip r:embed="rId7"/>
                    <a:stretch>
                      <a:fillRect/>
                    </a:stretch>
                  </pic:blipFill>
                  <pic:spPr>
                    <a:xfrm>
                      <a:off x="0" y="0"/>
                      <a:ext cx="5076825" cy="1514475"/>
                    </a:xfrm>
                    <a:prstGeom prst="rect">
                      <a:avLst/>
                    </a:prstGeom>
                  </pic:spPr>
                </pic:pic>
              </a:graphicData>
            </a:graphic>
          </wp:inline>
        </w:drawing>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sz w:val="24"/>
          <w:szCs w:val="24"/>
          <w:highlight w:val="none"/>
          <w:lang w:val="en-US" w:eastAsia="zh-CN"/>
        </w:rPr>
      </w:pPr>
      <w:r>
        <w:rPr>
          <w:rFonts w:hint="default" w:ascii="Times New Roman" w:hAnsi="Times New Roman" w:eastAsia="宋体" w:cs="Times New Roman"/>
          <w:b w:val="0"/>
          <w:bCs w:val="0"/>
          <w:color w:val="auto"/>
          <w:sz w:val="24"/>
          <w:szCs w:val="24"/>
          <w:highlight w:val="none"/>
          <w:lang w:val="en-US" w:eastAsia="zh-CN"/>
        </w:rPr>
        <w:t>问题说明：</w:t>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sz w:val="24"/>
          <w:szCs w:val="24"/>
          <w:highlight w:val="none"/>
          <w:lang w:val="en-US" w:eastAsia="zh-CN"/>
        </w:rPr>
      </w:pPr>
      <w:r>
        <w:rPr>
          <w:rFonts w:hint="default" w:ascii="Times New Roman" w:hAnsi="Times New Roman" w:eastAsia="宋体" w:cs="Times New Roman"/>
          <w:b w:val="0"/>
          <w:bCs w:val="0"/>
          <w:color w:val="auto"/>
          <w:sz w:val="24"/>
          <w:szCs w:val="24"/>
          <w:highlight w:val="none"/>
          <w:lang w:val="en-US" w:eastAsia="zh-CN"/>
        </w:rPr>
        <w:t xml:space="preserve">    以上关于售后服务到达现场实践要求前后不一致。</w:t>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sz w:val="24"/>
          <w:szCs w:val="24"/>
          <w:highlight w:val="none"/>
          <w:lang w:val="en-US" w:eastAsia="zh-CN"/>
        </w:rPr>
      </w:pPr>
      <w:r>
        <w:rPr>
          <w:rFonts w:hint="default" w:ascii="Times New Roman" w:hAnsi="Times New Roman" w:eastAsia="宋体" w:cs="Times New Roman"/>
          <w:b w:val="0"/>
          <w:bCs w:val="0"/>
          <w:color w:val="auto"/>
          <w:sz w:val="24"/>
          <w:szCs w:val="24"/>
          <w:highlight w:val="none"/>
          <w:lang w:val="en-US" w:eastAsia="zh-CN"/>
        </w:rPr>
        <w:t>澄清建议：</w:t>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sz w:val="24"/>
          <w:szCs w:val="24"/>
          <w:highlight w:val="none"/>
          <w:lang w:val="en-US" w:eastAsia="zh-CN"/>
        </w:rPr>
      </w:pPr>
      <w:r>
        <w:rPr>
          <w:rFonts w:hint="default" w:ascii="Times New Roman" w:hAnsi="Times New Roman" w:eastAsia="宋体" w:cs="Times New Roman"/>
          <w:b w:val="0"/>
          <w:bCs w:val="0"/>
          <w:color w:val="auto"/>
          <w:sz w:val="24"/>
          <w:szCs w:val="24"/>
          <w:highlight w:val="none"/>
          <w:lang w:val="en-US" w:eastAsia="zh-CN"/>
        </w:rPr>
        <w:t xml:space="preserve">    建议澄清明确以哪个时间要求为准。</w:t>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kern w:val="2"/>
          <w:sz w:val="24"/>
          <w:szCs w:val="24"/>
          <w:highlight w:val="none"/>
          <w:lang w:val="en-US" w:eastAsia="zh-CN" w:bidi="ar-SA"/>
        </w:rPr>
      </w:pPr>
      <w:r>
        <w:rPr>
          <w:rFonts w:hint="default" w:ascii="Times New Roman" w:hAnsi="Times New Roman" w:eastAsia="宋体" w:cs="Times New Roman"/>
          <w:b/>
          <w:bCs/>
          <w:color w:val="auto"/>
          <w:sz w:val="24"/>
          <w:szCs w:val="24"/>
          <w:highlight w:val="none"/>
          <w:lang w:val="en-US" w:eastAsia="zh-CN"/>
        </w:rPr>
        <w:t>答复：</w:t>
      </w:r>
      <w:r>
        <w:rPr>
          <w:rFonts w:hint="default" w:ascii="Times New Roman" w:hAnsi="Times New Roman" w:eastAsia="宋体" w:cs="Times New Roman"/>
          <w:b w:val="0"/>
          <w:bCs w:val="0"/>
          <w:color w:val="auto"/>
          <w:kern w:val="2"/>
          <w:sz w:val="24"/>
          <w:szCs w:val="24"/>
          <w:highlight w:val="none"/>
          <w:lang w:val="en-US" w:eastAsia="zh-CN" w:bidi="ar-SA"/>
        </w:rPr>
        <w:t>招标文件（第二册），第六章  投标资料表，26.4.5修改为：</w:t>
      </w:r>
    </w:p>
    <w:tbl>
      <w:tblPr>
        <w:tblStyle w:val="7"/>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1048"/>
        <w:gridCol w:w="771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600" w:hRule="atLeast"/>
          <w:jc w:val="center"/>
        </w:trPr>
        <w:tc>
          <w:tcPr>
            <w:tcW w:w="1048" w:type="dxa"/>
            <w:tcBorders>
              <w:top w:val="single" w:color="auto" w:sz="6" w:space="0"/>
              <w:left w:val="single" w:color="auto" w:sz="12" w:space="0"/>
              <w:bottom w:val="single" w:color="auto" w:sz="6" w:space="0"/>
              <w:right w:val="single" w:color="auto" w:sz="4" w:space="0"/>
            </w:tcBorders>
            <w:noWrap w:val="0"/>
            <w:vAlign w:val="center"/>
          </w:tcPr>
          <w:p>
            <w:pPr>
              <w:keepNext/>
              <w:keepLines/>
              <w:pageBreakBefore w:val="0"/>
              <w:widowControl w:val="0"/>
              <w:kinsoku/>
              <w:wordWrap/>
              <w:overflowPunct/>
              <w:topLinePunct w:val="0"/>
              <w:autoSpaceDE/>
              <w:autoSpaceDN/>
              <w:bidi w:val="0"/>
              <w:adjustRightInd/>
              <w:snapToGrid/>
              <w:spacing w:line="520" w:lineRule="exact"/>
              <w:jc w:val="center"/>
              <w:textAlignment w:val="auto"/>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26.4.5</w:t>
            </w:r>
          </w:p>
        </w:tc>
        <w:tc>
          <w:tcPr>
            <w:tcW w:w="7717" w:type="dxa"/>
            <w:tcBorders>
              <w:top w:val="single" w:color="auto" w:sz="6" w:space="0"/>
              <w:left w:val="single" w:color="auto" w:sz="4" w:space="0"/>
              <w:bottom w:val="single" w:color="auto" w:sz="6" w:space="0"/>
              <w:right w:val="single" w:color="auto" w:sz="12" w:space="0"/>
            </w:tcBorders>
            <w:noWrap w:val="0"/>
            <w:vAlign w:val="center"/>
          </w:tcPr>
          <w:p>
            <w:pPr>
              <w:keepNext/>
              <w:keepLines/>
              <w:pageBreakBefore w:val="0"/>
              <w:widowControl w:val="0"/>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color w:val="auto"/>
                <w:sz w:val="24"/>
                <w:szCs w:val="24"/>
                <w:highlight w:val="none"/>
              </w:rPr>
            </w:pPr>
            <w:r>
              <w:rPr>
                <w:rFonts w:hint="default" w:ascii="Times New Roman" w:hAnsi="Times New Roman" w:eastAsia="宋体" w:cs="Times New Roman"/>
                <w:b/>
                <w:color w:val="auto"/>
                <w:sz w:val="24"/>
                <w:szCs w:val="24"/>
                <w:highlight w:val="none"/>
              </w:rPr>
              <w:t>中国关境内的备件供应和售后服务设施：</w:t>
            </w:r>
          </w:p>
          <w:p>
            <w:pPr>
              <w:keepNext/>
              <w:keepLines/>
              <w:pageBreakBefore w:val="0"/>
              <w:widowControl w:val="0"/>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1、</w:t>
            </w:r>
            <w:r>
              <w:rPr>
                <w:rFonts w:hint="default" w:ascii="Times New Roman" w:hAnsi="Times New Roman" w:eastAsia="宋体" w:cs="Times New Roman"/>
                <w:color w:val="auto"/>
                <w:sz w:val="24"/>
                <w:szCs w:val="24"/>
                <w:highlight w:val="none"/>
                <w:lang w:val="en-US" w:eastAsia="zh-CN"/>
              </w:rPr>
              <w:t>质保期内，</w:t>
            </w:r>
            <w:r>
              <w:rPr>
                <w:rFonts w:hint="default" w:ascii="Times New Roman" w:hAnsi="Times New Roman" w:eastAsia="宋体" w:cs="Times New Roman"/>
                <w:color w:val="auto"/>
                <w:sz w:val="24"/>
                <w:szCs w:val="24"/>
                <w:highlight w:val="none"/>
              </w:rPr>
              <w:t>货物若出现故障，投标人应在接到招标人通知后</w:t>
            </w:r>
            <w:r>
              <w:rPr>
                <w:rFonts w:hint="default" w:ascii="Times New Roman" w:hAnsi="Times New Roman" w:eastAsia="宋体" w:cs="Times New Roman"/>
                <w:color w:val="auto"/>
                <w:sz w:val="24"/>
                <w:szCs w:val="24"/>
                <w:highlight w:val="none"/>
                <w:lang w:val="en-US" w:eastAsia="zh-CN"/>
              </w:rPr>
              <w:t>2</w:t>
            </w:r>
            <w:r>
              <w:rPr>
                <w:rFonts w:hint="default" w:ascii="Times New Roman" w:hAnsi="Times New Roman" w:eastAsia="宋体" w:cs="Times New Roman"/>
                <w:color w:val="auto"/>
                <w:sz w:val="24"/>
                <w:szCs w:val="24"/>
                <w:highlight w:val="none"/>
              </w:rPr>
              <w:t>小时内作出故障排除响应，投标人维修人员应在</w:t>
            </w:r>
            <w:r>
              <w:rPr>
                <w:rFonts w:hint="default" w:ascii="Times New Roman" w:hAnsi="Times New Roman" w:eastAsia="宋体" w:cs="Times New Roman"/>
                <w:color w:val="auto"/>
                <w:sz w:val="24"/>
                <w:szCs w:val="24"/>
                <w:highlight w:val="none"/>
                <w:lang w:val="en-US" w:eastAsia="zh-CN"/>
              </w:rPr>
              <w:t>2</w:t>
            </w:r>
            <w:r>
              <w:rPr>
                <w:rFonts w:hint="default" w:ascii="Times New Roman" w:hAnsi="Times New Roman" w:eastAsia="宋体" w:cs="Times New Roman"/>
                <w:color w:val="auto"/>
                <w:sz w:val="24"/>
                <w:szCs w:val="24"/>
                <w:highlight w:val="none"/>
              </w:rPr>
              <w:t>小时内到达招标人现场进行故障排除，并提供售后服务承诺函（格式由投标人自拟，盖投标人单位公章）。</w:t>
            </w:r>
          </w:p>
          <w:p>
            <w:pPr>
              <w:keepNext/>
              <w:keepLines/>
              <w:pageBreakBefore w:val="0"/>
              <w:widowControl w:val="0"/>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color w:val="auto"/>
                <w:spacing w:val="-6"/>
                <w:sz w:val="24"/>
                <w:szCs w:val="24"/>
                <w:highlight w:val="none"/>
              </w:rPr>
            </w:pPr>
            <w:r>
              <w:rPr>
                <w:rFonts w:hint="default" w:ascii="Times New Roman" w:hAnsi="Times New Roman" w:eastAsia="宋体" w:cs="Times New Roman"/>
                <w:color w:val="auto"/>
                <w:sz w:val="24"/>
                <w:szCs w:val="24"/>
                <w:highlight w:val="none"/>
              </w:rPr>
              <w:t>2、投标人或其所投设备制造商在中国境内有售后服务机构及维修能力，并提供服务机构的简介。</w:t>
            </w:r>
          </w:p>
        </w:tc>
      </w:tr>
    </w:tbl>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sz w:val="24"/>
          <w:szCs w:val="24"/>
          <w:highlight w:val="none"/>
          <w:lang w:val="en-US" w:eastAsia="zh-CN"/>
        </w:rPr>
      </w:pP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bCs/>
          <w:color w:val="auto"/>
          <w:sz w:val="24"/>
          <w:szCs w:val="24"/>
          <w:highlight w:val="none"/>
          <w:lang w:val="en-US" w:eastAsia="zh-CN"/>
        </w:rPr>
      </w:pPr>
      <w:r>
        <w:rPr>
          <w:rFonts w:hint="default" w:ascii="Times New Roman" w:hAnsi="Times New Roman" w:eastAsia="宋体" w:cs="Times New Roman"/>
          <w:b w:val="0"/>
          <w:bCs w:val="0"/>
          <w:color w:val="auto"/>
          <w:sz w:val="24"/>
          <w:szCs w:val="24"/>
          <w:highlight w:val="none"/>
          <w:lang w:val="en-US" w:eastAsia="zh-CN"/>
        </w:rPr>
        <w:t>2、</w:t>
      </w:r>
      <w:r>
        <w:rPr>
          <w:rFonts w:hint="default" w:ascii="Times New Roman" w:hAnsi="Times New Roman" w:eastAsia="宋体" w:cs="Times New Roman"/>
          <w:b/>
          <w:bCs/>
          <w:color w:val="auto"/>
          <w:sz w:val="24"/>
          <w:szCs w:val="24"/>
          <w:highlight w:val="none"/>
          <w:lang w:val="en-US" w:eastAsia="zh-CN"/>
        </w:rPr>
        <w:t>问题：</w:t>
      </w:r>
      <w:r>
        <w:rPr>
          <w:rFonts w:hint="default" w:ascii="Times New Roman" w:hAnsi="Times New Roman" w:eastAsia="宋体" w:cs="Times New Roman"/>
          <w:b w:val="0"/>
          <w:bCs w:val="0"/>
          <w:color w:val="auto"/>
          <w:sz w:val="24"/>
          <w:szCs w:val="24"/>
          <w:highlight w:val="none"/>
          <w:lang w:val="en-US" w:eastAsia="zh-CN"/>
        </w:rPr>
        <w:t>招标要求①：招标文件（第二册），第五章投标要求</w:t>
      </w:r>
      <w:r>
        <w:rPr>
          <w:rFonts w:hint="eastAsia" w:ascii="Times New Roman" w:hAnsi="Times New Roman" w:eastAsia="宋体" w:cs="Times New Roman"/>
          <w:b w:val="0"/>
          <w:bCs w:val="0"/>
          <w:color w:val="auto"/>
          <w:sz w:val="24"/>
          <w:szCs w:val="24"/>
          <w:highlight w:val="none"/>
          <w:lang w:val="en-US" w:eastAsia="zh-CN"/>
        </w:rPr>
        <w:t>，</w:t>
      </w:r>
      <w:r>
        <w:rPr>
          <w:rFonts w:hint="default" w:ascii="Times New Roman" w:hAnsi="Times New Roman" w:eastAsia="宋体" w:cs="Times New Roman"/>
          <w:b w:val="0"/>
          <w:bCs w:val="0"/>
          <w:color w:val="auto"/>
          <w:sz w:val="24"/>
          <w:szCs w:val="24"/>
          <w:highlight w:val="none"/>
          <w:lang w:val="en-US" w:eastAsia="zh-CN"/>
        </w:rPr>
        <w:t>3.2</w:t>
      </w:r>
    </w:p>
    <w:p>
      <w:pPr>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drawing>
          <wp:inline distT="0" distB="0" distL="114300" distR="114300">
            <wp:extent cx="5067300" cy="2724150"/>
            <wp:effectExtent l="0" t="0" r="0" b="0"/>
            <wp:docPr id="4" name="图片 4"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4"/>
                    <pic:cNvPicPr>
                      <a:picLocks noChangeAspect="1"/>
                    </pic:cNvPicPr>
                  </pic:nvPicPr>
                  <pic:blipFill>
                    <a:blip r:embed="rId8"/>
                    <a:stretch>
                      <a:fillRect/>
                    </a:stretch>
                  </pic:blipFill>
                  <pic:spPr>
                    <a:xfrm>
                      <a:off x="0" y="0"/>
                      <a:ext cx="5067300" cy="2724150"/>
                    </a:xfrm>
                    <a:prstGeom prst="rect">
                      <a:avLst/>
                    </a:prstGeom>
                  </pic:spPr>
                </pic:pic>
              </a:graphicData>
            </a:graphic>
          </wp:inline>
        </w:drawing>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kern w:val="2"/>
          <w:sz w:val="24"/>
          <w:szCs w:val="24"/>
          <w:highlight w:val="none"/>
          <w:lang w:val="en-US" w:eastAsia="zh-CN" w:bidi="ar-SA"/>
        </w:rPr>
      </w:pPr>
      <w:r>
        <w:rPr>
          <w:rFonts w:hint="default" w:ascii="Times New Roman" w:hAnsi="Times New Roman" w:eastAsia="宋体" w:cs="Times New Roman"/>
          <w:b w:val="0"/>
          <w:bCs w:val="0"/>
          <w:color w:val="auto"/>
          <w:kern w:val="2"/>
          <w:sz w:val="24"/>
          <w:szCs w:val="24"/>
          <w:highlight w:val="none"/>
          <w:lang w:val="en-US" w:eastAsia="zh-CN" w:bidi="ar-SA"/>
        </w:rPr>
        <w:t>招标要求②：招标文件（第二册），第六章  投标资料表</w:t>
      </w:r>
      <w:r>
        <w:rPr>
          <w:rFonts w:hint="eastAsia" w:ascii="Times New Roman" w:hAnsi="Times New Roman" w:eastAsia="宋体" w:cs="Times New Roman"/>
          <w:b w:val="0"/>
          <w:bCs w:val="0"/>
          <w:color w:val="auto"/>
          <w:kern w:val="2"/>
          <w:sz w:val="24"/>
          <w:szCs w:val="24"/>
          <w:highlight w:val="none"/>
          <w:lang w:val="en-US" w:eastAsia="zh-CN" w:bidi="ar-SA"/>
        </w:rPr>
        <w:t>，</w:t>
      </w:r>
      <w:r>
        <w:rPr>
          <w:rFonts w:hint="default" w:ascii="Times New Roman" w:hAnsi="Times New Roman" w:eastAsia="宋体" w:cs="Times New Roman"/>
          <w:b w:val="0"/>
          <w:bCs w:val="0"/>
          <w:color w:val="auto"/>
          <w:kern w:val="2"/>
          <w:sz w:val="24"/>
          <w:szCs w:val="24"/>
          <w:highlight w:val="none"/>
          <w:lang w:val="en-US" w:eastAsia="zh-CN" w:bidi="ar-SA"/>
        </w:rPr>
        <w:t>18.1</w:t>
      </w:r>
    </w:p>
    <w:p>
      <w:pPr>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drawing>
          <wp:inline distT="0" distB="0" distL="114300" distR="114300">
            <wp:extent cx="5067300" cy="1104900"/>
            <wp:effectExtent l="0" t="0" r="0" b="0"/>
            <wp:docPr id="9" name="图片 9"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5"/>
                    <pic:cNvPicPr>
                      <a:picLocks noChangeAspect="1"/>
                    </pic:cNvPicPr>
                  </pic:nvPicPr>
                  <pic:blipFill>
                    <a:blip r:embed="rId9"/>
                    <a:stretch>
                      <a:fillRect/>
                    </a:stretch>
                  </pic:blipFill>
                  <pic:spPr>
                    <a:xfrm>
                      <a:off x="0" y="0"/>
                      <a:ext cx="5067300" cy="1104900"/>
                    </a:xfrm>
                    <a:prstGeom prst="rect">
                      <a:avLst/>
                    </a:prstGeom>
                  </pic:spPr>
                </pic:pic>
              </a:graphicData>
            </a:graphic>
          </wp:inline>
        </w:drawing>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kern w:val="2"/>
          <w:sz w:val="24"/>
          <w:szCs w:val="24"/>
          <w:highlight w:val="none"/>
          <w:lang w:val="en-US" w:eastAsia="zh-CN" w:bidi="ar-SA"/>
        </w:rPr>
      </w:pPr>
      <w:r>
        <w:rPr>
          <w:rFonts w:hint="default" w:ascii="Times New Roman" w:hAnsi="Times New Roman" w:eastAsia="宋体" w:cs="Times New Roman"/>
          <w:b w:val="0"/>
          <w:bCs w:val="0"/>
          <w:color w:val="auto"/>
          <w:kern w:val="2"/>
          <w:sz w:val="24"/>
          <w:szCs w:val="24"/>
          <w:highlight w:val="none"/>
          <w:lang w:val="en-US" w:eastAsia="zh-CN" w:bidi="ar-SA"/>
        </w:rPr>
        <w:t>问题说明：</w:t>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kern w:val="2"/>
          <w:sz w:val="24"/>
          <w:szCs w:val="24"/>
          <w:highlight w:val="none"/>
          <w:lang w:val="en-US" w:eastAsia="zh-CN" w:bidi="ar-SA"/>
        </w:rPr>
      </w:pPr>
      <w:r>
        <w:rPr>
          <w:rFonts w:hint="default" w:ascii="Times New Roman" w:hAnsi="Times New Roman" w:eastAsia="宋体" w:cs="Times New Roman"/>
          <w:b w:val="0"/>
          <w:bCs w:val="0"/>
          <w:color w:val="auto"/>
          <w:kern w:val="2"/>
          <w:sz w:val="24"/>
          <w:szCs w:val="24"/>
          <w:highlight w:val="none"/>
          <w:lang w:val="en-US" w:eastAsia="zh-CN" w:bidi="ar-SA"/>
        </w:rPr>
        <w:t xml:space="preserve">    上述对代理商投标时是否需要提供制造商资格声明的要求不一致。</w:t>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kern w:val="2"/>
          <w:sz w:val="24"/>
          <w:szCs w:val="24"/>
          <w:highlight w:val="none"/>
          <w:lang w:val="en-US" w:eastAsia="zh-CN" w:bidi="ar-SA"/>
        </w:rPr>
      </w:pPr>
      <w:r>
        <w:rPr>
          <w:rFonts w:hint="default" w:ascii="Times New Roman" w:hAnsi="Times New Roman" w:eastAsia="宋体" w:cs="Times New Roman"/>
          <w:b w:val="0"/>
          <w:bCs w:val="0"/>
          <w:color w:val="auto"/>
          <w:kern w:val="2"/>
          <w:sz w:val="24"/>
          <w:szCs w:val="24"/>
          <w:highlight w:val="none"/>
          <w:lang w:val="en-US" w:eastAsia="zh-CN" w:bidi="ar-SA"/>
        </w:rPr>
        <w:t>澄清建议：</w:t>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kern w:val="2"/>
          <w:sz w:val="24"/>
          <w:szCs w:val="24"/>
          <w:highlight w:val="none"/>
          <w:lang w:val="en-US" w:eastAsia="zh-CN" w:bidi="ar-SA"/>
        </w:rPr>
      </w:pPr>
      <w:r>
        <w:rPr>
          <w:rFonts w:hint="default" w:ascii="Times New Roman" w:hAnsi="Times New Roman" w:eastAsia="宋体" w:cs="Times New Roman"/>
          <w:b w:val="0"/>
          <w:bCs w:val="0"/>
          <w:color w:val="auto"/>
          <w:kern w:val="2"/>
          <w:sz w:val="24"/>
          <w:szCs w:val="24"/>
          <w:highlight w:val="none"/>
          <w:lang w:val="en-US" w:eastAsia="zh-CN" w:bidi="ar-SA"/>
        </w:rPr>
        <w:t xml:space="preserve">    建议将招标文件第二册  第六章-18.1的第二条修改为：</w:t>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kern w:val="2"/>
          <w:sz w:val="24"/>
          <w:szCs w:val="24"/>
          <w:highlight w:val="none"/>
          <w:lang w:val="en-US" w:eastAsia="zh-CN" w:bidi="ar-SA"/>
        </w:rPr>
      </w:pPr>
      <w:r>
        <w:rPr>
          <w:rFonts w:hint="default" w:ascii="Times New Roman" w:hAnsi="Times New Roman" w:eastAsia="宋体" w:cs="Times New Roman"/>
          <w:b w:val="0"/>
          <w:bCs w:val="0"/>
          <w:color w:val="auto"/>
          <w:kern w:val="2"/>
          <w:sz w:val="24"/>
          <w:szCs w:val="24"/>
          <w:highlight w:val="none"/>
          <w:lang w:val="en-US" w:eastAsia="zh-CN" w:bidi="ar-SA"/>
        </w:rPr>
        <w:t>2、资格投标文件密封袋内装（包括但不限于）：资格声明、制造商资格声明（制造商投标时适用）、......</w:t>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kern w:val="2"/>
          <w:sz w:val="24"/>
          <w:szCs w:val="24"/>
          <w:highlight w:val="none"/>
          <w:lang w:val="en-US" w:eastAsia="zh-CN" w:bidi="ar-SA"/>
        </w:rPr>
      </w:pPr>
      <w:r>
        <w:rPr>
          <w:rFonts w:hint="default" w:ascii="Times New Roman" w:hAnsi="Times New Roman" w:eastAsia="宋体" w:cs="Times New Roman"/>
          <w:b/>
          <w:bCs/>
          <w:color w:val="auto"/>
          <w:kern w:val="2"/>
          <w:sz w:val="24"/>
          <w:szCs w:val="24"/>
          <w:highlight w:val="none"/>
          <w:lang w:val="en-US" w:eastAsia="zh-CN" w:bidi="ar-SA"/>
        </w:rPr>
        <w:t>答复：</w:t>
      </w:r>
      <w:r>
        <w:rPr>
          <w:rFonts w:hint="default" w:ascii="Times New Roman" w:hAnsi="Times New Roman" w:eastAsia="宋体" w:cs="Times New Roman"/>
          <w:b w:val="0"/>
          <w:bCs w:val="0"/>
          <w:color w:val="auto"/>
          <w:kern w:val="2"/>
          <w:sz w:val="24"/>
          <w:szCs w:val="24"/>
          <w:highlight w:val="none"/>
          <w:lang w:val="en-US" w:eastAsia="zh-CN" w:bidi="ar-SA"/>
        </w:rPr>
        <w:t>招标文件（第二册），第六章 投标资料表</w:t>
      </w:r>
      <w:r>
        <w:rPr>
          <w:rFonts w:hint="eastAsia" w:ascii="Times New Roman" w:hAnsi="Times New Roman" w:eastAsia="宋体" w:cs="Times New Roman"/>
          <w:b w:val="0"/>
          <w:bCs w:val="0"/>
          <w:color w:val="auto"/>
          <w:kern w:val="2"/>
          <w:sz w:val="24"/>
          <w:szCs w:val="24"/>
          <w:highlight w:val="none"/>
          <w:lang w:val="en-US" w:eastAsia="zh-CN" w:bidi="ar-SA"/>
        </w:rPr>
        <w:t>，</w:t>
      </w:r>
      <w:r>
        <w:rPr>
          <w:rFonts w:hint="default" w:ascii="Times New Roman" w:hAnsi="Times New Roman" w:eastAsia="宋体" w:cs="Times New Roman"/>
          <w:b w:val="0"/>
          <w:bCs w:val="0"/>
          <w:color w:val="auto"/>
          <w:kern w:val="2"/>
          <w:sz w:val="24"/>
          <w:szCs w:val="24"/>
          <w:highlight w:val="none"/>
          <w:lang w:val="en-US" w:eastAsia="zh-CN" w:bidi="ar-SA"/>
        </w:rPr>
        <w:t>18.1第2条修改为：</w:t>
      </w:r>
    </w:p>
    <w:p>
      <w:pPr>
        <w:pageBreakBefore w:val="0"/>
        <w:widowControl w:val="0"/>
        <w:numPr>
          <w:ilvl w:val="0"/>
          <w:numId w:val="0"/>
        </w:numPr>
        <w:kinsoku/>
        <w:wordWrap/>
        <w:overflowPunct/>
        <w:topLinePunct w:val="0"/>
        <w:autoSpaceDE/>
        <w:autoSpaceDN/>
        <w:bidi w:val="0"/>
        <w:adjustRightInd/>
        <w:snapToGrid/>
        <w:spacing w:line="520" w:lineRule="exact"/>
        <w:ind w:firstLine="480" w:firstLineChars="200"/>
        <w:textAlignment w:val="auto"/>
        <w:rPr>
          <w:rFonts w:hint="default" w:ascii="Times New Roman" w:hAnsi="Times New Roman" w:eastAsia="宋体" w:cs="Times New Roman"/>
          <w:b w:val="0"/>
          <w:bCs w:val="0"/>
          <w:color w:val="auto"/>
          <w:sz w:val="24"/>
          <w:szCs w:val="24"/>
          <w:highlight w:val="none"/>
          <w:lang w:val="en-US" w:eastAsia="zh-CN"/>
        </w:rPr>
      </w:pPr>
      <w:r>
        <w:rPr>
          <w:rFonts w:hint="default" w:ascii="Times New Roman" w:hAnsi="Times New Roman" w:eastAsia="宋体" w:cs="Times New Roman"/>
          <w:b w:val="0"/>
          <w:bCs w:val="0"/>
          <w:color w:val="auto"/>
          <w:sz w:val="24"/>
          <w:szCs w:val="24"/>
          <w:highlight w:val="none"/>
        </w:rPr>
        <w:t>资格投标文件密封袋内装</w:t>
      </w:r>
      <w:r>
        <w:rPr>
          <w:rFonts w:hint="default" w:ascii="Times New Roman" w:hAnsi="Times New Roman" w:eastAsia="宋体" w:cs="Times New Roman"/>
          <w:b w:val="0"/>
          <w:bCs w:val="0"/>
          <w:color w:val="auto"/>
          <w:sz w:val="24"/>
          <w:szCs w:val="24"/>
          <w:highlight w:val="none"/>
          <w:lang w:eastAsia="zh-CN"/>
        </w:rPr>
        <w:t>（</w:t>
      </w:r>
      <w:r>
        <w:rPr>
          <w:rFonts w:hint="default" w:ascii="Times New Roman" w:hAnsi="Times New Roman" w:eastAsia="宋体" w:cs="Times New Roman"/>
          <w:b w:val="0"/>
          <w:bCs w:val="0"/>
          <w:color w:val="auto"/>
          <w:sz w:val="24"/>
          <w:szCs w:val="24"/>
          <w:highlight w:val="none"/>
        </w:rPr>
        <w:t>包括但不限于</w:t>
      </w:r>
      <w:r>
        <w:rPr>
          <w:rFonts w:hint="default" w:ascii="Times New Roman" w:hAnsi="Times New Roman" w:eastAsia="宋体" w:cs="Times New Roman"/>
          <w:b w:val="0"/>
          <w:bCs w:val="0"/>
          <w:color w:val="auto"/>
          <w:sz w:val="24"/>
          <w:szCs w:val="24"/>
          <w:highlight w:val="none"/>
          <w:lang w:eastAsia="zh-CN"/>
        </w:rPr>
        <w:t>）</w:t>
      </w:r>
      <w:r>
        <w:rPr>
          <w:rFonts w:hint="default" w:ascii="Times New Roman" w:hAnsi="Times New Roman" w:eastAsia="宋体" w:cs="Times New Roman"/>
          <w:b w:val="0"/>
          <w:bCs w:val="0"/>
          <w:color w:val="auto"/>
          <w:sz w:val="24"/>
          <w:szCs w:val="24"/>
          <w:highlight w:val="none"/>
        </w:rPr>
        <w:t>：资格声明、制造商资格声明</w:t>
      </w:r>
      <w:r>
        <w:rPr>
          <w:rFonts w:hint="default" w:ascii="Times New Roman" w:hAnsi="Times New Roman" w:eastAsia="宋体" w:cs="Times New Roman"/>
          <w:b w:val="0"/>
          <w:bCs w:val="0"/>
          <w:color w:val="auto"/>
          <w:kern w:val="2"/>
          <w:sz w:val="24"/>
          <w:szCs w:val="24"/>
          <w:highlight w:val="none"/>
          <w:lang w:val="en-US" w:eastAsia="zh-CN" w:bidi="ar-SA"/>
        </w:rPr>
        <w:t>（制造商投标时适用）</w:t>
      </w:r>
      <w:r>
        <w:rPr>
          <w:rFonts w:hint="default" w:ascii="Times New Roman" w:hAnsi="Times New Roman" w:eastAsia="宋体" w:cs="Times New Roman"/>
          <w:b w:val="0"/>
          <w:bCs w:val="0"/>
          <w:color w:val="auto"/>
          <w:sz w:val="24"/>
          <w:szCs w:val="24"/>
          <w:highlight w:val="none"/>
        </w:rPr>
        <w:t>、营业执照、</w:t>
      </w:r>
      <w:r>
        <w:rPr>
          <w:rFonts w:hint="default" w:ascii="Times New Roman" w:hAnsi="Times New Roman" w:eastAsia="宋体" w:cs="Times New Roman"/>
          <w:color w:val="auto"/>
          <w:sz w:val="24"/>
          <w:szCs w:val="24"/>
          <w:highlight w:val="none"/>
        </w:rPr>
        <w:t>投标保证金付款凭证以及投标人的银行基本账户开户证明文件</w:t>
      </w:r>
      <w:r>
        <w:rPr>
          <w:rFonts w:hint="default" w:ascii="Times New Roman" w:hAnsi="Times New Roman" w:eastAsia="宋体" w:cs="Times New Roman"/>
          <w:b w:val="0"/>
          <w:bCs w:val="0"/>
          <w:color w:val="auto"/>
          <w:sz w:val="24"/>
          <w:szCs w:val="24"/>
          <w:highlight w:val="none"/>
        </w:rPr>
        <w:t>（人民币转账或电汇时须提供）、</w:t>
      </w:r>
      <w:r>
        <w:rPr>
          <w:rFonts w:hint="default" w:ascii="Times New Roman" w:hAnsi="Times New Roman" w:eastAsia="宋体" w:cs="Times New Roman"/>
          <w:b w:val="0"/>
          <w:bCs w:val="0"/>
          <w:color w:val="auto"/>
          <w:sz w:val="24"/>
          <w:szCs w:val="24"/>
          <w:highlight w:val="none"/>
          <w:lang w:val="en-US" w:eastAsia="zh-CN"/>
        </w:rPr>
        <w:t>投标保证金</w:t>
      </w:r>
      <w:r>
        <w:rPr>
          <w:rFonts w:hint="default" w:ascii="Times New Roman" w:hAnsi="Times New Roman" w:eastAsia="宋体" w:cs="Times New Roman"/>
          <w:color w:val="auto"/>
          <w:sz w:val="24"/>
          <w:szCs w:val="24"/>
          <w:highlight w:val="none"/>
        </w:rPr>
        <w:t>银行保函或不可撤销的信用证</w:t>
      </w:r>
      <w:r>
        <w:rPr>
          <w:rFonts w:hint="default" w:ascii="Times New Roman" w:hAnsi="Times New Roman" w:eastAsia="宋体" w:cs="Times New Roman"/>
          <w:b w:val="0"/>
          <w:bCs w:val="0"/>
          <w:color w:val="auto"/>
          <w:sz w:val="24"/>
          <w:szCs w:val="24"/>
          <w:highlight w:val="none"/>
        </w:rPr>
        <w:t>（若采用）、法人代表或单位负责人授权书、</w:t>
      </w:r>
      <w:r>
        <w:rPr>
          <w:rFonts w:hint="default" w:ascii="Times New Roman" w:hAnsi="Times New Roman" w:eastAsia="宋体" w:cs="Times New Roman"/>
          <w:color w:val="auto"/>
          <w:sz w:val="24"/>
          <w:szCs w:val="24"/>
          <w:highlight w:val="none"/>
        </w:rPr>
        <w:t>投标人（作为代理）的资格声明</w:t>
      </w:r>
      <w:r>
        <w:rPr>
          <w:rFonts w:hint="default" w:ascii="Times New Roman" w:hAnsi="Times New Roman" w:eastAsia="宋体"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lang w:val="en-US" w:eastAsia="zh-CN"/>
        </w:rPr>
        <w:t>代理商投标时适用</w:t>
      </w:r>
      <w:r>
        <w:rPr>
          <w:rFonts w:hint="default" w:ascii="Times New Roman" w:hAnsi="Times New Roman" w:eastAsia="宋体" w:cs="Times New Roman"/>
          <w:color w:val="auto"/>
          <w:sz w:val="24"/>
          <w:szCs w:val="24"/>
          <w:highlight w:val="none"/>
          <w:lang w:eastAsia="zh-CN"/>
        </w:rPr>
        <w:t>）、</w:t>
      </w:r>
      <w:r>
        <w:rPr>
          <w:rFonts w:hint="default" w:ascii="Times New Roman" w:hAnsi="Times New Roman" w:eastAsia="宋体" w:cs="Times New Roman"/>
          <w:b w:val="0"/>
          <w:bCs w:val="0"/>
          <w:color w:val="auto"/>
          <w:sz w:val="24"/>
          <w:szCs w:val="24"/>
          <w:highlight w:val="none"/>
        </w:rPr>
        <w:t>制造商授权书（代理商投标时适用）</w:t>
      </w:r>
      <w:r>
        <w:rPr>
          <w:rFonts w:hint="default" w:ascii="Times New Roman" w:hAnsi="Times New Roman" w:eastAsia="宋体" w:cs="Times New Roman"/>
          <w:b w:val="0"/>
          <w:bCs w:val="0"/>
          <w:color w:val="auto"/>
          <w:sz w:val="24"/>
          <w:szCs w:val="24"/>
          <w:highlight w:val="none"/>
          <w:lang w:eastAsia="zh-CN"/>
        </w:rPr>
        <w:t>（</w:t>
      </w:r>
      <w:r>
        <w:rPr>
          <w:rFonts w:hint="default" w:ascii="Times New Roman" w:hAnsi="Times New Roman" w:eastAsia="宋体" w:cs="Times New Roman"/>
          <w:b w:val="0"/>
          <w:bCs w:val="0"/>
          <w:color w:val="auto"/>
          <w:sz w:val="24"/>
          <w:szCs w:val="24"/>
          <w:highlight w:val="none"/>
          <w:lang w:val="en-US" w:eastAsia="zh-CN"/>
        </w:rPr>
        <w:t>或者</w:t>
      </w:r>
      <w:r>
        <w:rPr>
          <w:rFonts w:hint="default" w:ascii="Times New Roman" w:hAnsi="Times New Roman" w:eastAsia="宋体" w:cs="Times New Roman"/>
          <w:color w:val="auto"/>
          <w:sz w:val="24"/>
          <w:szCs w:val="24"/>
          <w:highlight w:val="none"/>
        </w:rPr>
        <w:t>由制造商负责对所投产品的销售、使用、巡检、保养、维修、培训及授权工作和提供原厂质保的承诺书</w:t>
      </w:r>
      <w:r>
        <w:rPr>
          <w:rFonts w:hint="default" w:ascii="Times New Roman" w:hAnsi="Times New Roman" w:eastAsia="宋体" w:cs="Times New Roman"/>
          <w:b w:val="0"/>
          <w:bCs w:val="0"/>
          <w:color w:val="auto"/>
          <w:sz w:val="24"/>
          <w:szCs w:val="24"/>
          <w:highlight w:val="none"/>
          <w:lang w:eastAsia="zh-CN"/>
        </w:rPr>
        <w:t>）</w:t>
      </w:r>
      <w:r>
        <w:rPr>
          <w:rFonts w:hint="default" w:ascii="Times New Roman" w:hAnsi="Times New Roman" w:eastAsia="宋体" w:cs="Times New Roman"/>
          <w:b w:val="0"/>
          <w:bCs w:val="0"/>
          <w:color w:val="auto"/>
          <w:sz w:val="24"/>
          <w:szCs w:val="24"/>
          <w:highlight w:val="none"/>
        </w:rPr>
        <w:t>、</w:t>
      </w:r>
      <w:r>
        <w:rPr>
          <w:rFonts w:hint="default" w:ascii="Times New Roman" w:hAnsi="Times New Roman" w:eastAsia="宋体" w:cs="Times New Roman"/>
          <w:b w:val="0"/>
          <w:bCs w:val="0"/>
          <w:color w:val="auto"/>
          <w:sz w:val="24"/>
          <w:szCs w:val="24"/>
          <w:highlight w:val="none"/>
          <w:lang w:eastAsia="zh-CN"/>
        </w:rPr>
        <w:t>（</w:t>
      </w:r>
      <w:r>
        <w:rPr>
          <w:rFonts w:hint="default" w:ascii="Times New Roman" w:hAnsi="Times New Roman" w:eastAsia="宋体" w:cs="Times New Roman"/>
          <w:b w:val="0"/>
          <w:bCs w:val="0"/>
          <w:color w:val="auto"/>
          <w:sz w:val="24"/>
          <w:szCs w:val="24"/>
          <w:highlight w:val="none"/>
          <w:lang w:val="en-US" w:eastAsia="zh-CN"/>
        </w:rPr>
        <w:t>营业执照和</w:t>
      </w:r>
      <w:r>
        <w:rPr>
          <w:rFonts w:hint="default" w:ascii="Times New Roman" w:hAnsi="Times New Roman" w:eastAsia="宋体" w:cs="Times New Roman"/>
          <w:b w:val="0"/>
          <w:bCs w:val="0"/>
          <w:color w:val="auto"/>
          <w:sz w:val="24"/>
          <w:szCs w:val="24"/>
          <w:highlight w:val="none"/>
          <w:lang w:eastAsia="zh-CN"/>
        </w:rPr>
        <w:t>）</w:t>
      </w:r>
      <w:r>
        <w:rPr>
          <w:rFonts w:hint="default" w:ascii="Times New Roman" w:hAnsi="Times New Roman" w:eastAsia="宋体" w:cs="Times New Roman"/>
          <w:color w:val="auto"/>
          <w:sz w:val="24"/>
          <w:szCs w:val="24"/>
          <w:highlight w:val="none"/>
        </w:rPr>
        <w:t>建筑机电安装工程专业承包资质或者民航空管工程及机场弱电系统工程专业承包资质</w:t>
      </w:r>
      <w:r>
        <w:rPr>
          <w:rFonts w:hint="default" w:ascii="Times New Roman" w:hAnsi="Times New Roman" w:eastAsia="宋体"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rPr>
        <w:t>民用航空安全检查设备使用许可证书</w:t>
      </w:r>
      <w:r>
        <w:rPr>
          <w:rFonts w:hint="default" w:ascii="Times New Roman" w:hAnsi="Times New Roman" w:eastAsia="宋体"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lang w:val="en-US" w:eastAsia="zh-CN"/>
        </w:rPr>
        <w:t>业绩证明材料、</w:t>
      </w:r>
      <w:r>
        <w:rPr>
          <w:rFonts w:hint="default" w:ascii="Times New Roman" w:hAnsi="Times New Roman" w:eastAsia="宋体" w:cs="Times New Roman"/>
          <w:b w:val="0"/>
          <w:bCs w:val="0"/>
          <w:color w:val="auto"/>
          <w:sz w:val="24"/>
          <w:szCs w:val="24"/>
          <w:highlight w:val="none"/>
        </w:rPr>
        <w:t>银行资信证明等。</w:t>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sz w:val="24"/>
          <w:szCs w:val="24"/>
          <w:highlight w:val="none"/>
          <w:lang w:val="en-US" w:eastAsia="zh-CN"/>
        </w:rPr>
      </w:pP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kern w:val="2"/>
          <w:sz w:val="24"/>
          <w:szCs w:val="24"/>
          <w:highlight w:val="none"/>
          <w:lang w:val="en-US" w:eastAsia="zh-CN" w:bidi="ar-SA"/>
        </w:rPr>
      </w:pPr>
      <w:r>
        <w:rPr>
          <w:rFonts w:hint="default" w:ascii="Times New Roman" w:hAnsi="Times New Roman" w:eastAsia="宋体" w:cs="Times New Roman"/>
          <w:b/>
          <w:bCs/>
          <w:color w:val="auto"/>
          <w:kern w:val="2"/>
          <w:sz w:val="24"/>
          <w:szCs w:val="24"/>
          <w:highlight w:val="none"/>
          <w:lang w:val="en-US" w:eastAsia="zh-CN" w:bidi="ar-SA"/>
        </w:rPr>
        <w:t>3、问题</w:t>
      </w:r>
      <w:r>
        <w:rPr>
          <w:rFonts w:hint="default" w:ascii="Times New Roman" w:hAnsi="Times New Roman" w:eastAsia="宋体" w:cs="Times New Roman"/>
          <w:b w:val="0"/>
          <w:bCs w:val="0"/>
          <w:color w:val="auto"/>
          <w:kern w:val="2"/>
          <w:sz w:val="24"/>
          <w:szCs w:val="24"/>
          <w:highlight w:val="none"/>
          <w:lang w:val="en-US" w:eastAsia="zh-CN" w:bidi="ar-SA"/>
        </w:rPr>
        <w:t>：招标要求①：招标文件（第二册），第八章，5金属探测门</w:t>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kern w:val="2"/>
          <w:sz w:val="24"/>
          <w:szCs w:val="24"/>
          <w:highlight w:val="none"/>
          <w:lang w:val="en-US" w:eastAsia="zh-CN" w:bidi="ar-SA"/>
        </w:rPr>
      </w:pPr>
      <w:r>
        <w:rPr>
          <w:rFonts w:hint="default" w:ascii="Times New Roman" w:hAnsi="Times New Roman" w:eastAsia="宋体" w:cs="Times New Roman"/>
          <w:b w:val="0"/>
          <w:bCs w:val="0"/>
          <w:color w:val="auto"/>
          <w:kern w:val="2"/>
          <w:sz w:val="24"/>
          <w:szCs w:val="24"/>
          <w:highlight w:val="none"/>
          <w:lang w:val="en-US" w:eastAsia="zh-CN" w:bidi="ar-SA"/>
        </w:rPr>
        <w:t>5.1.1通过公安部安全与警用电子产品质量检测中心认证，且探测灵敏度检验符合Ⅰ级要求。</w:t>
      </w:r>
    </w:p>
    <w:p>
      <w:pPr>
        <w:pStyle w:val="3"/>
        <w:pageBreakBefore w:val="0"/>
        <w:widowControl w:val="0"/>
        <w:numPr>
          <w:ilvl w:val="2"/>
          <w:numId w:val="0"/>
        </w:numPr>
        <w:kinsoku/>
        <w:wordWrap/>
        <w:overflowPunct/>
        <w:topLinePunct w:val="0"/>
        <w:autoSpaceDE/>
        <w:autoSpaceDN/>
        <w:bidi w:val="0"/>
        <w:adjustRightInd/>
        <w:snapToGrid/>
        <w:spacing w:before="0" w:after="0" w:line="240" w:lineRule="auto"/>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drawing>
          <wp:inline distT="0" distB="0" distL="114300" distR="114300">
            <wp:extent cx="5751830" cy="1699895"/>
            <wp:effectExtent l="0" t="0" r="1270" b="14605"/>
            <wp:docPr id="11" name="图片 11" descr="微信图片_20240717141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微信图片_20240717141949"/>
                    <pic:cNvPicPr>
                      <a:picLocks noChangeAspect="1"/>
                    </pic:cNvPicPr>
                  </pic:nvPicPr>
                  <pic:blipFill>
                    <a:blip r:embed="rId10"/>
                    <a:stretch>
                      <a:fillRect/>
                    </a:stretch>
                  </pic:blipFill>
                  <pic:spPr>
                    <a:xfrm>
                      <a:off x="0" y="0"/>
                      <a:ext cx="5751830" cy="1699895"/>
                    </a:xfrm>
                    <a:prstGeom prst="rect">
                      <a:avLst/>
                    </a:prstGeom>
                  </pic:spPr>
                </pic:pic>
              </a:graphicData>
            </a:graphic>
          </wp:inline>
        </w:drawing>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sz w:val="24"/>
          <w:szCs w:val="24"/>
          <w:highlight w:val="none"/>
          <w:lang w:val="en-US" w:eastAsia="zh-CN"/>
        </w:rPr>
      </w:pPr>
      <w:r>
        <w:rPr>
          <w:rFonts w:hint="default" w:ascii="Times New Roman" w:hAnsi="Times New Roman" w:eastAsia="宋体" w:cs="Times New Roman"/>
          <w:b w:val="0"/>
          <w:bCs w:val="0"/>
          <w:color w:val="auto"/>
          <w:sz w:val="24"/>
          <w:szCs w:val="24"/>
          <w:highlight w:val="none"/>
          <w:lang w:val="en-US" w:eastAsia="zh-CN"/>
        </w:rPr>
        <w:t>问题说明：</w:t>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sz w:val="24"/>
          <w:szCs w:val="24"/>
          <w:highlight w:val="none"/>
          <w:lang w:val="en-US" w:eastAsia="zh-CN"/>
        </w:rPr>
      </w:pPr>
      <w:r>
        <w:rPr>
          <w:rFonts w:hint="default" w:ascii="Times New Roman" w:hAnsi="Times New Roman" w:eastAsia="宋体" w:cs="Times New Roman"/>
          <w:b w:val="0"/>
          <w:bCs w:val="0"/>
          <w:color w:val="auto"/>
          <w:sz w:val="24"/>
          <w:szCs w:val="24"/>
          <w:highlight w:val="none"/>
          <w:lang w:val="en-US" w:eastAsia="zh-CN"/>
        </w:rPr>
        <w:t xml:space="preserve">    此条款是要求提供公安部的检测报告，但却只限定了公安部第一研究所这唯一检测机构，具有明显指向性。目前公安部权威检测机构包括公安部一所、公安部三所两家检测机构，且两所均为业内常用检测机构，为确保潜在投标人可公平、公正参与本项目投标，建议修改指定唯一检测机构的要求。</w:t>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sz w:val="24"/>
          <w:szCs w:val="24"/>
          <w:highlight w:val="none"/>
          <w:lang w:val="en-US" w:eastAsia="zh-CN"/>
        </w:rPr>
      </w:pPr>
      <w:r>
        <w:rPr>
          <w:rFonts w:hint="default" w:ascii="Times New Roman" w:hAnsi="Times New Roman" w:eastAsia="宋体" w:cs="Times New Roman"/>
          <w:b w:val="0"/>
          <w:bCs w:val="0"/>
          <w:color w:val="auto"/>
          <w:sz w:val="24"/>
          <w:szCs w:val="24"/>
          <w:highlight w:val="none"/>
          <w:lang w:val="en-US" w:eastAsia="zh-CN"/>
        </w:rPr>
        <w:t>澄清建议：</w:t>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sz w:val="24"/>
          <w:szCs w:val="24"/>
          <w:highlight w:val="none"/>
          <w:lang w:val="en-US" w:eastAsia="zh-CN"/>
        </w:rPr>
      </w:pPr>
      <w:r>
        <w:rPr>
          <w:rFonts w:hint="default" w:ascii="Times New Roman" w:hAnsi="Times New Roman" w:eastAsia="宋体" w:cs="Times New Roman"/>
          <w:b w:val="0"/>
          <w:bCs w:val="0"/>
          <w:color w:val="auto"/>
          <w:sz w:val="24"/>
          <w:szCs w:val="24"/>
          <w:highlight w:val="none"/>
          <w:lang w:val="en-US" w:eastAsia="zh-CN"/>
        </w:rPr>
        <w:t xml:space="preserve">    建议澄清修改为：国家安全防范报警系统产品质量监督检验中心认证，且探测灵敏度检验符合Ⅰ级要求。</w:t>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kern w:val="2"/>
          <w:sz w:val="24"/>
          <w:szCs w:val="24"/>
          <w:highlight w:val="none"/>
          <w:lang w:val="en-US" w:eastAsia="zh-CN" w:bidi="ar-SA"/>
        </w:rPr>
      </w:pPr>
      <w:r>
        <w:rPr>
          <w:rFonts w:hint="default" w:ascii="Times New Roman" w:hAnsi="Times New Roman" w:eastAsia="宋体" w:cs="Times New Roman"/>
          <w:b/>
          <w:bCs/>
          <w:color w:val="auto"/>
          <w:sz w:val="24"/>
          <w:szCs w:val="24"/>
          <w:highlight w:val="none"/>
          <w:lang w:val="en-US" w:eastAsia="zh-CN"/>
        </w:rPr>
        <w:t>答复：</w:t>
      </w:r>
      <w:r>
        <w:rPr>
          <w:rFonts w:hint="default" w:ascii="Times New Roman" w:hAnsi="Times New Roman" w:eastAsia="宋体" w:cs="Times New Roman"/>
          <w:b w:val="0"/>
          <w:bCs w:val="0"/>
          <w:color w:val="auto"/>
          <w:kern w:val="2"/>
          <w:sz w:val="24"/>
          <w:szCs w:val="24"/>
          <w:highlight w:val="none"/>
          <w:lang w:val="en-US" w:eastAsia="zh-CN" w:bidi="ar-SA"/>
        </w:rPr>
        <w:t>招标文件（第二册），第八章，5金属探测门，5.1.1条修改为：</w:t>
      </w:r>
    </w:p>
    <w:p>
      <w:pPr>
        <w:pageBreakBefore w:val="0"/>
        <w:widowControl w:val="0"/>
        <w:numPr>
          <w:ilvl w:val="0"/>
          <w:numId w:val="0"/>
        </w:numPr>
        <w:kinsoku/>
        <w:wordWrap/>
        <w:overflowPunct/>
        <w:topLinePunct w:val="0"/>
        <w:autoSpaceDE/>
        <w:autoSpaceDN/>
        <w:bidi w:val="0"/>
        <w:adjustRightInd/>
        <w:snapToGrid/>
        <w:spacing w:line="520" w:lineRule="exact"/>
        <w:ind w:firstLine="480" w:firstLineChars="200"/>
        <w:textAlignment w:val="auto"/>
        <w:rPr>
          <w:rFonts w:hint="default" w:ascii="Times New Roman" w:hAnsi="Times New Roman" w:eastAsia="宋体" w:cs="Times New Roman"/>
          <w:b w:val="0"/>
          <w:bCs w:val="0"/>
          <w:color w:val="auto"/>
          <w:sz w:val="24"/>
          <w:szCs w:val="24"/>
          <w:highlight w:val="none"/>
          <w:lang w:val="en-US" w:eastAsia="zh-CN"/>
        </w:rPr>
      </w:pPr>
      <w:r>
        <w:rPr>
          <w:rFonts w:hint="default" w:ascii="Times New Roman" w:hAnsi="Times New Roman" w:eastAsia="宋体" w:cs="Times New Roman"/>
          <w:b w:val="0"/>
          <w:bCs w:val="0"/>
          <w:color w:val="auto"/>
          <w:sz w:val="24"/>
          <w:szCs w:val="24"/>
          <w:highlight w:val="none"/>
          <w:lang w:val="en-US" w:eastAsia="zh-CN"/>
        </w:rPr>
        <w:t>通过国家安全防范报警系统产品质量监督检验中心认证，且探测灵敏度检验符合Ⅰ级要求。</w:t>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sz w:val="24"/>
          <w:szCs w:val="24"/>
          <w:highlight w:val="none"/>
          <w:lang w:val="en-US" w:eastAsia="zh-CN"/>
        </w:rPr>
      </w:pP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sz w:val="24"/>
          <w:szCs w:val="24"/>
          <w:highlight w:val="none"/>
          <w:lang w:val="en-US" w:eastAsia="zh-CN"/>
        </w:rPr>
      </w:pPr>
      <w:r>
        <w:rPr>
          <w:rFonts w:hint="default" w:ascii="Times New Roman" w:hAnsi="Times New Roman" w:eastAsia="宋体" w:cs="Times New Roman"/>
          <w:b w:val="0"/>
          <w:bCs w:val="0"/>
          <w:color w:val="auto"/>
          <w:sz w:val="24"/>
          <w:szCs w:val="24"/>
          <w:highlight w:val="none"/>
          <w:lang w:val="en-US" w:eastAsia="zh-CN"/>
        </w:rPr>
        <w:t>4、</w:t>
      </w:r>
      <w:r>
        <w:rPr>
          <w:rFonts w:hint="default" w:ascii="Times New Roman" w:hAnsi="Times New Roman" w:eastAsia="宋体" w:cs="Times New Roman"/>
          <w:b/>
          <w:bCs/>
          <w:color w:val="auto"/>
          <w:sz w:val="24"/>
          <w:szCs w:val="24"/>
          <w:highlight w:val="none"/>
          <w:lang w:val="en-US" w:eastAsia="zh-CN"/>
        </w:rPr>
        <w:t>问题：</w:t>
      </w:r>
      <w:r>
        <w:rPr>
          <w:rFonts w:hint="default" w:ascii="Times New Roman" w:hAnsi="Times New Roman" w:eastAsia="宋体" w:cs="Times New Roman"/>
          <w:b w:val="0"/>
          <w:bCs w:val="0"/>
          <w:color w:val="auto"/>
          <w:sz w:val="24"/>
          <w:szCs w:val="24"/>
          <w:highlight w:val="none"/>
          <w:lang w:val="en-US" w:eastAsia="zh-CN"/>
        </w:rPr>
        <w:t>招标要求①：招标文件</w:t>
      </w:r>
      <w:r>
        <w:rPr>
          <w:rFonts w:hint="default" w:ascii="Times New Roman" w:hAnsi="Times New Roman" w:eastAsia="宋体" w:cs="Times New Roman"/>
          <w:b w:val="0"/>
          <w:bCs w:val="0"/>
          <w:color w:val="auto"/>
          <w:kern w:val="2"/>
          <w:sz w:val="24"/>
          <w:szCs w:val="24"/>
          <w:highlight w:val="none"/>
          <w:lang w:val="en-US" w:eastAsia="zh-CN" w:bidi="ar-SA"/>
        </w:rPr>
        <w:t>（第二册），第六章 投标资料表</w:t>
      </w:r>
      <w:r>
        <w:rPr>
          <w:rFonts w:hint="eastAsia" w:ascii="Times New Roman" w:hAnsi="Times New Roman" w:eastAsia="宋体" w:cs="Times New Roman"/>
          <w:b w:val="0"/>
          <w:bCs w:val="0"/>
          <w:color w:val="auto"/>
          <w:kern w:val="2"/>
          <w:sz w:val="24"/>
          <w:szCs w:val="24"/>
          <w:highlight w:val="none"/>
          <w:lang w:val="en-US" w:eastAsia="zh-CN" w:bidi="ar-SA"/>
        </w:rPr>
        <w:t>，</w:t>
      </w:r>
      <w:r>
        <w:rPr>
          <w:rFonts w:hint="default" w:ascii="Times New Roman" w:hAnsi="Times New Roman" w:eastAsia="宋体" w:cs="Times New Roman"/>
          <w:b w:val="0"/>
          <w:bCs w:val="0"/>
          <w:color w:val="auto"/>
          <w:kern w:val="2"/>
          <w:sz w:val="24"/>
          <w:szCs w:val="24"/>
          <w:highlight w:val="none"/>
          <w:lang w:val="en-US" w:eastAsia="zh-CN" w:bidi="ar-SA"/>
        </w:rPr>
        <w:t>17.1</w:t>
      </w:r>
    </w:p>
    <w:p>
      <w:pPr>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drawing>
          <wp:inline distT="0" distB="0" distL="114300" distR="114300">
            <wp:extent cx="4819650" cy="1819275"/>
            <wp:effectExtent l="0" t="0" r="0" b="9525"/>
            <wp:docPr id="8" name="图片 8"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6"/>
                    <pic:cNvPicPr>
                      <a:picLocks noChangeAspect="1"/>
                    </pic:cNvPicPr>
                  </pic:nvPicPr>
                  <pic:blipFill>
                    <a:blip r:embed="rId11"/>
                    <a:stretch>
                      <a:fillRect/>
                    </a:stretch>
                  </pic:blipFill>
                  <pic:spPr>
                    <a:xfrm>
                      <a:off x="0" y="0"/>
                      <a:ext cx="4819650" cy="1819275"/>
                    </a:xfrm>
                    <a:prstGeom prst="rect">
                      <a:avLst/>
                    </a:prstGeom>
                  </pic:spPr>
                </pic:pic>
              </a:graphicData>
            </a:graphic>
          </wp:inline>
        </w:drawing>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kern w:val="2"/>
          <w:sz w:val="24"/>
          <w:szCs w:val="24"/>
          <w:highlight w:val="none"/>
          <w:lang w:val="en-US" w:eastAsia="zh-CN" w:bidi="ar-SA"/>
        </w:rPr>
      </w:pPr>
      <w:r>
        <w:rPr>
          <w:rFonts w:hint="default" w:ascii="Times New Roman" w:hAnsi="Times New Roman" w:eastAsia="宋体" w:cs="Times New Roman"/>
          <w:b w:val="0"/>
          <w:bCs w:val="0"/>
          <w:color w:val="auto"/>
          <w:kern w:val="2"/>
          <w:sz w:val="24"/>
          <w:szCs w:val="24"/>
          <w:highlight w:val="none"/>
          <w:lang w:val="en-US" w:eastAsia="zh-CN" w:bidi="ar-SA"/>
        </w:rPr>
        <w:t>招标要求②：招标文件（第二册），第八章-1.5辅助资料</w:t>
      </w:r>
    </w:p>
    <w:p>
      <w:pPr>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drawing>
          <wp:inline distT="0" distB="0" distL="114300" distR="114300">
            <wp:extent cx="4886325" cy="1752600"/>
            <wp:effectExtent l="0" t="0" r="9525" b="0"/>
            <wp:docPr id="7" name="图片 7"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7"/>
                    <pic:cNvPicPr>
                      <a:picLocks noChangeAspect="1"/>
                    </pic:cNvPicPr>
                  </pic:nvPicPr>
                  <pic:blipFill>
                    <a:blip r:embed="rId12"/>
                    <a:stretch>
                      <a:fillRect/>
                    </a:stretch>
                  </pic:blipFill>
                  <pic:spPr>
                    <a:xfrm>
                      <a:off x="0" y="0"/>
                      <a:ext cx="4886325" cy="1752600"/>
                    </a:xfrm>
                    <a:prstGeom prst="rect">
                      <a:avLst/>
                    </a:prstGeom>
                  </pic:spPr>
                </pic:pic>
              </a:graphicData>
            </a:graphic>
          </wp:inline>
        </w:drawing>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kern w:val="2"/>
          <w:sz w:val="24"/>
          <w:szCs w:val="24"/>
          <w:highlight w:val="none"/>
          <w:lang w:val="en-US" w:eastAsia="zh-CN" w:bidi="ar-SA"/>
        </w:rPr>
      </w:pPr>
      <w:r>
        <w:rPr>
          <w:rFonts w:hint="default" w:ascii="Times New Roman" w:hAnsi="Times New Roman" w:eastAsia="宋体" w:cs="Times New Roman"/>
          <w:b w:val="0"/>
          <w:bCs w:val="0"/>
          <w:color w:val="auto"/>
          <w:kern w:val="2"/>
          <w:sz w:val="24"/>
          <w:szCs w:val="24"/>
          <w:highlight w:val="none"/>
          <w:lang w:val="en-US" w:eastAsia="zh-CN" w:bidi="ar-SA"/>
        </w:rPr>
        <w:t>问题说明：</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ind w:firstLine="480" w:firstLineChars="200"/>
        <w:textAlignment w:val="auto"/>
        <w:rPr>
          <w:rFonts w:hint="default" w:ascii="Times New Roman" w:hAnsi="Times New Roman" w:eastAsia="宋体" w:cs="Times New Roman"/>
          <w:b w:val="0"/>
          <w:bCs w:val="0"/>
          <w:color w:val="auto"/>
          <w:kern w:val="2"/>
          <w:sz w:val="24"/>
          <w:szCs w:val="24"/>
          <w:highlight w:val="none"/>
          <w:lang w:val="en-US" w:eastAsia="zh-CN" w:bidi="ar-SA"/>
        </w:rPr>
      </w:pPr>
      <w:r>
        <w:rPr>
          <w:rFonts w:hint="default" w:ascii="Times New Roman" w:hAnsi="Times New Roman" w:eastAsia="宋体" w:cs="Times New Roman"/>
          <w:b w:val="0"/>
          <w:bCs w:val="0"/>
          <w:color w:val="auto"/>
          <w:kern w:val="2"/>
          <w:sz w:val="24"/>
          <w:szCs w:val="24"/>
          <w:highlight w:val="none"/>
          <w:lang w:val="en-US" w:eastAsia="zh-CN" w:bidi="ar-SA"/>
        </w:rPr>
        <w:t>招标文件中，对于纸质投标文件副本的数量要求前后矛盾。</w:t>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kern w:val="2"/>
          <w:sz w:val="24"/>
          <w:szCs w:val="24"/>
          <w:highlight w:val="none"/>
          <w:lang w:val="en-US" w:eastAsia="zh-CN" w:bidi="ar-SA"/>
        </w:rPr>
      </w:pPr>
      <w:r>
        <w:rPr>
          <w:rFonts w:hint="default" w:ascii="Times New Roman" w:hAnsi="Times New Roman" w:eastAsia="宋体" w:cs="Times New Roman"/>
          <w:b w:val="0"/>
          <w:bCs w:val="0"/>
          <w:color w:val="auto"/>
          <w:kern w:val="2"/>
          <w:sz w:val="24"/>
          <w:szCs w:val="24"/>
          <w:highlight w:val="none"/>
          <w:lang w:val="en-US" w:eastAsia="zh-CN" w:bidi="ar-SA"/>
        </w:rPr>
        <w:t>澄清建议：</w:t>
      </w:r>
    </w:p>
    <w:p>
      <w:pPr>
        <w:pageBreakBefore w:val="0"/>
        <w:widowControl w:val="0"/>
        <w:numPr>
          <w:ilvl w:val="0"/>
          <w:numId w:val="0"/>
        </w:numPr>
        <w:kinsoku/>
        <w:wordWrap/>
        <w:overflowPunct/>
        <w:topLinePunct w:val="0"/>
        <w:autoSpaceDE/>
        <w:autoSpaceDN/>
        <w:bidi w:val="0"/>
        <w:adjustRightInd/>
        <w:snapToGrid/>
        <w:spacing w:line="520" w:lineRule="exact"/>
        <w:ind w:firstLine="480" w:firstLineChars="200"/>
        <w:textAlignment w:val="auto"/>
        <w:rPr>
          <w:rFonts w:hint="default" w:ascii="Times New Roman" w:hAnsi="Times New Roman" w:eastAsia="宋体" w:cs="Times New Roman"/>
          <w:b w:val="0"/>
          <w:bCs w:val="0"/>
          <w:color w:val="auto"/>
          <w:kern w:val="2"/>
          <w:sz w:val="24"/>
          <w:szCs w:val="24"/>
          <w:highlight w:val="none"/>
          <w:lang w:val="en-US" w:eastAsia="zh-CN" w:bidi="ar-SA"/>
        </w:rPr>
      </w:pPr>
      <w:r>
        <w:rPr>
          <w:rFonts w:hint="default" w:ascii="Times New Roman" w:hAnsi="Times New Roman" w:eastAsia="宋体" w:cs="Times New Roman"/>
          <w:b w:val="0"/>
          <w:bCs w:val="0"/>
          <w:color w:val="auto"/>
          <w:kern w:val="2"/>
          <w:sz w:val="24"/>
          <w:szCs w:val="24"/>
          <w:highlight w:val="none"/>
          <w:lang w:val="en-US" w:eastAsia="zh-CN" w:bidi="ar-SA"/>
        </w:rPr>
        <w:t>建议澄清明确投标时纸质投标文件副本的数量以哪个为准。</w:t>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kern w:val="2"/>
          <w:sz w:val="24"/>
          <w:szCs w:val="24"/>
          <w:highlight w:val="none"/>
          <w:lang w:val="en-US" w:eastAsia="zh-CN" w:bidi="ar-SA"/>
        </w:rPr>
      </w:pPr>
      <w:r>
        <w:rPr>
          <w:rFonts w:hint="default" w:ascii="Times New Roman" w:hAnsi="Times New Roman" w:eastAsia="宋体" w:cs="Times New Roman"/>
          <w:b/>
          <w:bCs/>
          <w:color w:val="auto"/>
          <w:kern w:val="2"/>
          <w:sz w:val="24"/>
          <w:szCs w:val="24"/>
          <w:highlight w:val="none"/>
          <w:lang w:val="en-US" w:eastAsia="zh-CN" w:bidi="ar-SA"/>
        </w:rPr>
        <w:t>答复：</w:t>
      </w:r>
      <w:r>
        <w:rPr>
          <w:rFonts w:hint="default" w:ascii="Times New Roman" w:hAnsi="Times New Roman" w:eastAsia="宋体" w:cs="Times New Roman"/>
          <w:b w:val="0"/>
          <w:bCs w:val="0"/>
          <w:color w:val="auto"/>
          <w:kern w:val="2"/>
          <w:sz w:val="24"/>
          <w:szCs w:val="24"/>
          <w:highlight w:val="none"/>
          <w:lang w:val="en-US" w:eastAsia="zh-CN" w:bidi="ar-SA"/>
        </w:rPr>
        <w:t>两处纸质文件数量对应的内容不同、并不冲突，</w:t>
      </w:r>
      <w:r>
        <w:rPr>
          <w:rFonts w:hint="eastAsia" w:ascii="Times New Roman" w:hAnsi="Times New Roman" w:eastAsia="宋体" w:cs="Times New Roman"/>
          <w:b w:val="0"/>
          <w:bCs w:val="0"/>
          <w:color w:val="auto"/>
          <w:kern w:val="2"/>
          <w:sz w:val="24"/>
          <w:szCs w:val="24"/>
          <w:highlight w:val="none"/>
          <w:lang w:val="en-US" w:eastAsia="zh-CN" w:bidi="ar-SA"/>
        </w:rPr>
        <w:t>“</w:t>
      </w:r>
      <w:r>
        <w:rPr>
          <w:rFonts w:hint="default" w:ascii="Times New Roman" w:hAnsi="Times New Roman" w:eastAsia="宋体" w:cs="Times New Roman"/>
          <w:b w:val="0"/>
          <w:bCs w:val="0"/>
          <w:color w:val="auto"/>
          <w:kern w:val="2"/>
          <w:sz w:val="24"/>
          <w:szCs w:val="24"/>
          <w:highlight w:val="none"/>
          <w:lang w:val="en-US" w:eastAsia="zh-CN" w:bidi="ar-SA"/>
        </w:rPr>
        <w:t>辅助资料</w:t>
      </w:r>
      <w:r>
        <w:rPr>
          <w:rFonts w:hint="eastAsia" w:ascii="Times New Roman" w:hAnsi="Times New Roman" w:eastAsia="宋体" w:cs="Times New Roman"/>
          <w:b w:val="0"/>
          <w:bCs w:val="0"/>
          <w:color w:val="auto"/>
          <w:kern w:val="2"/>
          <w:sz w:val="24"/>
          <w:szCs w:val="24"/>
          <w:highlight w:val="none"/>
          <w:lang w:val="en-US" w:eastAsia="zh-CN" w:bidi="ar-SA"/>
        </w:rPr>
        <w:t>”</w:t>
      </w:r>
      <w:r>
        <w:rPr>
          <w:rFonts w:hint="default" w:ascii="Times New Roman" w:hAnsi="Times New Roman" w:eastAsia="宋体" w:cs="Times New Roman"/>
          <w:b w:val="0"/>
          <w:bCs w:val="0"/>
          <w:color w:val="auto"/>
          <w:kern w:val="2"/>
          <w:sz w:val="24"/>
          <w:szCs w:val="24"/>
          <w:highlight w:val="none"/>
          <w:lang w:val="en-US" w:eastAsia="zh-CN" w:bidi="ar-SA"/>
        </w:rPr>
        <w:t>是技术投标文件的一部分内容。纸质投标文件的数量按招标文件第二册第六章17.1执行，辅助资料按招标文件第二册第八章1.5辅助资料</w:t>
      </w:r>
      <w:r>
        <w:rPr>
          <w:rFonts w:hint="eastAsia" w:ascii="Times New Roman" w:hAnsi="Times New Roman" w:eastAsia="宋体" w:cs="Times New Roman"/>
          <w:b w:val="0"/>
          <w:bCs w:val="0"/>
          <w:color w:val="auto"/>
          <w:kern w:val="2"/>
          <w:sz w:val="24"/>
          <w:szCs w:val="24"/>
          <w:highlight w:val="none"/>
          <w:lang w:val="en-US" w:eastAsia="zh-CN" w:bidi="ar-SA"/>
        </w:rPr>
        <w:t>“</w:t>
      </w:r>
      <w:r>
        <w:rPr>
          <w:rFonts w:hint="default" w:ascii="Times New Roman" w:hAnsi="Times New Roman" w:eastAsia="宋体" w:cs="Times New Roman"/>
          <w:b w:val="0"/>
          <w:bCs w:val="0"/>
          <w:color w:val="auto"/>
          <w:kern w:val="2"/>
          <w:sz w:val="24"/>
          <w:szCs w:val="24"/>
          <w:highlight w:val="none"/>
          <w:lang w:val="en-US" w:eastAsia="zh-CN" w:bidi="ar-SA"/>
        </w:rPr>
        <w:t>资料提交汇总表</w:t>
      </w:r>
      <w:r>
        <w:rPr>
          <w:rFonts w:hint="eastAsia" w:ascii="Times New Roman" w:hAnsi="Times New Roman" w:eastAsia="宋体" w:cs="Times New Roman"/>
          <w:b w:val="0"/>
          <w:bCs w:val="0"/>
          <w:color w:val="auto"/>
          <w:kern w:val="2"/>
          <w:sz w:val="24"/>
          <w:szCs w:val="24"/>
          <w:highlight w:val="none"/>
          <w:lang w:val="en-US" w:eastAsia="zh-CN" w:bidi="ar-SA"/>
        </w:rPr>
        <w:t>”</w:t>
      </w:r>
      <w:r>
        <w:rPr>
          <w:rFonts w:hint="default" w:ascii="Times New Roman" w:hAnsi="Times New Roman" w:eastAsia="宋体" w:cs="Times New Roman"/>
          <w:b w:val="0"/>
          <w:bCs w:val="0"/>
          <w:color w:val="auto"/>
          <w:kern w:val="2"/>
          <w:sz w:val="24"/>
          <w:szCs w:val="24"/>
          <w:highlight w:val="none"/>
          <w:lang w:val="en-US" w:eastAsia="zh-CN" w:bidi="ar-SA"/>
        </w:rPr>
        <w:t>中的数量执行。例如将技术投标文件分上下册或多册编制并列明“辅助资料”目录、具体</w:t>
      </w:r>
      <w:r>
        <w:rPr>
          <w:rFonts w:hint="eastAsia" w:ascii="Times New Roman" w:hAnsi="Times New Roman" w:eastAsia="宋体" w:cs="Times New Roman"/>
          <w:b w:val="0"/>
          <w:bCs w:val="0"/>
          <w:color w:val="auto"/>
          <w:kern w:val="2"/>
          <w:sz w:val="24"/>
          <w:szCs w:val="24"/>
          <w:highlight w:val="none"/>
          <w:lang w:val="en-US" w:eastAsia="zh-CN" w:bidi="ar-SA"/>
        </w:rPr>
        <w:t>“</w:t>
      </w:r>
      <w:r>
        <w:rPr>
          <w:rFonts w:hint="default" w:ascii="Times New Roman" w:hAnsi="Times New Roman" w:eastAsia="宋体" w:cs="Times New Roman"/>
          <w:b w:val="0"/>
          <w:bCs w:val="0"/>
          <w:color w:val="auto"/>
          <w:kern w:val="2"/>
          <w:sz w:val="24"/>
          <w:szCs w:val="24"/>
          <w:highlight w:val="none"/>
          <w:lang w:val="en-US" w:eastAsia="zh-CN" w:bidi="ar-SA"/>
        </w:rPr>
        <w:t>辅助资料</w:t>
      </w:r>
      <w:r>
        <w:rPr>
          <w:rFonts w:hint="eastAsia" w:ascii="Times New Roman" w:hAnsi="Times New Roman" w:eastAsia="宋体" w:cs="Times New Roman"/>
          <w:b w:val="0"/>
          <w:bCs w:val="0"/>
          <w:color w:val="auto"/>
          <w:kern w:val="2"/>
          <w:sz w:val="24"/>
          <w:szCs w:val="24"/>
          <w:highlight w:val="none"/>
          <w:lang w:val="en-US" w:eastAsia="zh-CN" w:bidi="ar-SA"/>
        </w:rPr>
        <w:t>”</w:t>
      </w:r>
      <w:r>
        <w:rPr>
          <w:rFonts w:hint="default" w:ascii="Times New Roman" w:hAnsi="Times New Roman" w:eastAsia="宋体" w:cs="Times New Roman"/>
          <w:b w:val="0"/>
          <w:bCs w:val="0"/>
          <w:color w:val="auto"/>
          <w:kern w:val="2"/>
          <w:sz w:val="24"/>
          <w:szCs w:val="24"/>
          <w:highlight w:val="none"/>
          <w:lang w:val="en-US" w:eastAsia="zh-CN" w:bidi="ar-SA"/>
        </w:rPr>
        <w:t>内容单独另行成册包含在技术投标文件中。</w:t>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kern w:val="2"/>
          <w:sz w:val="24"/>
          <w:szCs w:val="24"/>
          <w:highlight w:val="none"/>
          <w:lang w:val="en-US" w:eastAsia="zh-CN" w:bidi="ar-SA"/>
        </w:rPr>
      </w:pP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kern w:val="2"/>
          <w:sz w:val="24"/>
          <w:szCs w:val="24"/>
          <w:highlight w:val="none"/>
          <w:lang w:val="en-US" w:eastAsia="zh-CN" w:bidi="ar-SA"/>
        </w:rPr>
      </w:pPr>
      <w:r>
        <w:rPr>
          <w:rFonts w:hint="default" w:ascii="Times New Roman" w:hAnsi="Times New Roman" w:eastAsia="宋体" w:cs="Times New Roman"/>
          <w:b w:val="0"/>
          <w:bCs w:val="0"/>
          <w:color w:val="auto"/>
          <w:kern w:val="2"/>
          <w:sz w:val="24"/>
          <w:szCs w:val="24"/>
          <w:highlight w:val="none"/>
          <w:lang w:val="en-US" w:eastAsia="zh-CN" w:bidi="ar-SA"/>
        </w:rPr>
        <w:t>5、</w:t>
      </w:r>
      <w:r>
        <w:rPr>
          <w:rFonts w:hint="default" w:ascii="Times New Roman" w:hAnsi="Times New Roman" w:eastAsia="宋体" w:cs="Times New Roman"/>
          <w:b/>
          <w:bCs/>
          <w:color w:val="auto"/>
          <w:kern w:val="2"/>
          <w:sz w:val="24"/>
          <w:szCs w:val="24"/>
          <w:highlight w:val="none"/>
          <w:lang w:val="en-US" w:eastAsia="zh-CN" w:bidi="ar-SA"/>
        </w:rPr>
        <w:t>问题：</w:t>
      </w:r>
      <w:r>
        <w:rPr>
          <w:rFonts w:hint="default" w:ascii="Times New Roman" w:hAnsi="Times New Roman" w:eastAsia="宋体" w:cs="Times New Roman"/>
          <w:b w:val="0"/>
          <w:bCs w:val="0"/>
          <w:color w:val="auto"/>
          <w:kern w:val="2"/>
          <w:sz w:val="24"/>
          <w:szCs w:val="24"/>
          <w:highlight w:val="none"/>
          <w:lang w:val="en-US" w:eastAsia="zh-CN" w:bidi="ar-SA"/>
        </w:rPr>
        <w:t>招标要求①</w:t>
      </w:r>
      <w:r>
        <w:rPr>
          <w:rFonts w:hint="default" w:ascii="Times New Roman" w:hAnsi="Times New Roman" w:eastAsia="宋体" w:cs="Times New Roman"/>
          <w:b w:val="0"/>
          <w:bCs w:val="0"/>
          <w:color w:val="auto"/>
          <w:sz w:val="24"/>
          <w:szCs w:val="24"/>
          <w:highlight w:val="none"/>
          <w:lang w:val="en-US" w:eastAsia="zh-CN"/>
        </w:rPr>
        <w:t>：招标</w:t>
      </w:r>
      <w:r>
        <w:rPr>
          <w:rFonts w:hint="default" w:ascii="Times New Roman" w:hAnsi="Times New Roman" w:eastAsia="宋体" w:cs="Times New Roman"/>
          <w:b w:val="0"/>
          <w:bCs w:val="0"/>
          <w:color w:val="auto"/>
          <w:kern w:val="2"/>
          <w:sz w:val="24"/>
          <w:szCs w:val="24"/>
          <w:highlight w:val="none"/>
          <w:lang w:val="en-US" w:eastAsia="zh-CN" w:bidi="ar-SA"/>
        </w:rPr>
        <w:t>文件第一册，18.1</w:t>
      </w:r>
    </w:p>
    <w:p>
      <w:pPr>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drawing>
          <wp:inline distT="0" distB="0" distL="114300" distR="114300">
            <wp:extent cx="5048250" cy="1343025"/>
            <wp:effectExtent l="0" t="0" r="0" b="9525"/>
            <wp:docPr id="6" name="图片 6"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8"/>
                    <pic:cNvPicPr>
                      <a:picLocks noChangeAspect="1"/>
                    </pic:cNvPicPr>
                  </pic:nvPicPr>
                  <pic:blipFill>
                    <a:blip r:embed="rId13"/>
                    <a:stretch>
                      <a:fillRect/>
                    </a:stretch>
                  </pic:blipFill>
                  <pic:spPr>
                    <a:xfrm>
                      <a:off x="0" y="0"/>
                      <a:ext cx="5048250" cy="1343025"/>
                    </a:xfrm>
                    <a:prstGeom prst="rect">
                      <a:avLst/>
                    </a:prstGeom>
                  </pic:spPr>
                </pic:pic>
              </a:graphicData>
            </a:graphic>
          </wp:inline>
        </w:drawing>
      </w:r>
    </w:p>
    <w:p>
      <w:pPr>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kern w:val="2"/>
          <w:sz w:val="24"/>
          <w:szCs w:val="24"/>
          <w:highlight w:val="none"/>
          <w:lang w:val="en-US" w:eastAsia="zh-CN" w:bidi="ar-SA"/>
        </w:rPr>
      </w:pPr>
      <w:r>
        <w:rPr>
          <w:rFonts w:hint="default" w:ascii="Times New Roman" w:hAnsi="Times New Roman" w:eastAsia="宋体" w:cs="Times New Roman"/>
          <w:b w:val="0"/>
          <w:bCs w:val="0"/>
          <w:color w:val="auto"/>
          <w:kern w:val="2"/>
          <w:sz w:val="24"/>
          <w:szCs w:val="24"/>
          <w:highlight w:val="none"/>
          <w:lang w:val="en-US" w:eastAsia="zh-CN" w:bidi="ar-SA"/>
        </w:rPr>
        <w:t>招标要求②：招标文件第二册，第六章18.1投标文件的密封</w:t>
      </w:r>
    </w:p>
    <w:p>
      <w:pPr>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drawing>
          <wp:inline distT="0" distB="0" distL="114300" distR="114300">
            <wp:extent cx="5057775" cy="3933825"/>
            <wp:effectExtent l="0" t="0" r="9525" b="9525"/>
            <wp:docPr id="5" name="图片 5"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9"/>
                    <pic:cNvPicPr>
                      <a:picLocks noChangeAspect="1"/>
                    </pic:cNvPicPr>
                  </pic:nvPicPr>
                  <pic:blipFill>
                    <a:blip r:embed="rId14"/>
                    <a:stretch>
                      <a:fillRect/>
                    </a:stretch>
                  </pic:blipFill>
                  <pic:spPr>
                    <a:xfrm>
                      <a:off x="0" y="0"/>
                      <a:ext cx="5057775" cy="3933825"/>
                    </a:xfrm>
                    <a:prstGeom prst="rect">
                      <a:avLst/>
                    </a:prstGeom>
                  </pic:spPr>
                </pic:pic>
              </a:graphicData>
            </a:graphic>
          </wp:inline>
        </w:drawing>
      </w:r>
    </w:p>
    <w:p>
      <w:pPr>
        <w:pageBreakBefore w:val="0"/>
        <w:widowControl w:val="0"/>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sz w:val="24"/>
          <w:szCs w:val="24"/>
          <w:highlight w:val="none"/>
        </w:rPr>
      </w:pPr>
      <w:r>
        <w:rPr>
          <w:rFonts w:hint="default" w:ascii="Times New Roman" w:hAnsi="Times New Roman" w:eastAsia="宋体" w:cs="Times New Roman"/>
          <w:b w:val="0"/>
          <w:bCs w:val="0"/>
          <w:color w:val="auto"/>
          <w:sz w:val="24"/>
          <w:szCs w:val="24"/>
          <w:highlight w:val="none"/>
        </w:rPr>
        <w:t>问题说明：</w:t>
      </w:r>
    </w:p>
    <w:p>
      <w:pPr>
        <w:pageBreakBefore w:val="0"/>
        <w:widowControl w:val="0"/>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sz w:val="24"/>
          <w:szCs w:val="24"/>
          <w:highlight w:val="none"/>
        </w:rPr>
      </w:pPr>
      <w:r>
        <w:rPr>
          <w:rFonts w:hint="default" w:ascii="Times New Roman" w:hAnsi="Times New Roman" w:eastAsia="宋体" w:cs="Times New Roman"/>
          <w:b w:val="0"/>
          <w:bCs w:val="0"/>
          <w:color w:val="auto"/>
          <w:sz w:val="24"/>
          <w:szCs w:val="24"/>
          <w:highlight w:val="none"/>
        </w:rPr>
        <w:t xml:space="preserve">    招标文件第二册18.1章节没有提到副本是否与正本分开封装，没有提到开标一览表和投标保证金是否单独封装提交。</w:t>
      </w:r>
    </w:p>
    <w:p>
      <w:pPr>
        <w:pageBreakBefore w:val="0"/>
        <w:widowControl w:val="0"/>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sz w:val="24"/>
          <w:szCs w:val="24"/>
          <w:highlight w:val="none"/>
        </w:rPr>
      </w:pPr>
      <w:r>
        <w:rPr>
          <w:rFonts w:hint="default" w:ascii="Times New Roman" w:hAnsi="Times New Roman" w:eastAsia="宋体" w:cs="Times New Roman"/>
          <w:b w:val="0"/>
          <w:bCs w:val="0"/>
          <w:color w:val="auto"/>
          <w:sz w:val="24"/>
          <w:szCs w:val="24"/>
          <w:highlight w:val="none"/>
        </w:rPr>
        <w:t>澄清建议：</w:t>
      </w:r>
    </w:p>
    <w:p>
      <w:pPr>
        <w:pageBreakBefore w:val="0"/>
        <w:widowControl w:val="0"/>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val="0"/>
          <w:bCs w:val="0"/>
          <w:color w:val="auto"/>
          <w:sz w:val="24"/>
          <w:szCs w:val="24"/>
          <w:highlight w:val="none"/>
        </w:rPr>
      </w:pPr>
      <w:r>
        <w:rPr>
          <w:rFonts w:hint="default" w:ascii="Times New Roman" w:hAnsi="Times New Roman" w:eastAsia="宋体" w:cs="Times New Roman"/>
          <w:b w:val="0"/>
          <w:bCs w:val="0"/>
          <w:color w:val="auto"/>
          <w:sz w:val="24"/>
          <w:szCs w:val="24"/>
          <w:highlight w:val="none"/>
        </w:rPr>
        <w:t>建议澄清明确：副本是否与正本分开封装，开标一览表和投标保证金是否单独封装提交。</w:t>
      </w:r>
    </w:p>
    <w:p>
      <w:pPr>
        <w:pageBreakBefore w:val="0"/>
        <w:widowControl w:val="0"/>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bCs/>
          <w:color w:val="auto"/>
          <w:sz w:val="24"/>
          <w:szCs w:val="24"/>
          <w:highlight w:val="none"/>
          <w:lang w:val="en-US" w:eastAsia="zh-CN"/>
        </w:rPr>
      </w:pPr>
      <w:r>
        <w:rPr>
          <w:rFonts w:hint="default" w:ascii="Times New Roman" w:hAnsi="Times New Roman" w:eastAsia="宋体" w:cs="Times New Roman"/>
          <w:b/>
          <w:bCs/>
          <w:color w:val="auto"/>
          <w:sz w:val="24"/>
          <w:szCs w:val="24"/>
          <w:highlight w:val="none"/>
          <w:lang w:val="en-US" w:eastAsia="zh-CN"/>
        </w:rPr>
        <w:t>答复：</w:t>
      </w:r>
      <w:r>
        <w:rPr>
          <w:rFonts w:hint="default" w:ascii="Times New Roman" w:hAnsi="Times New Roman" w:eastAsia="宋体" w:cs="Times New Roman"/>
          <w:b w:val="0"/>
          <w:bCs w:val="0"/>
          <w:color w:val="auto"/>
          <w:sz w:val="24"/>
          <w:szCs w:val="24"/>
          <w:highlight w:val="none"/>
          <w:lang w:val="en-US" w:eastAsia="zh-CN"/>
        </w:rPr>
        <w:t>按招标文件第二册18.1执行。即开标一览表和投标保证金不要求单独封装提交；副本与正本是否分开封装均可。</w:t>
      </w:r>
    </w:p>
    <w:p>
      <w:pPr>
        <w:pageBreakBefore w:val="0"/>
        <w:widowControl w:val="0"/>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b/>
          <w:bCs/>
          <w:color w:val="auto"/>
          <w:sz w:val="24"/>
          <w:szCs w:val="24"/>
          <w:highlight w:val="none"/>
        </w:rPr>
      </w:pPr>
    </w:p>
    <w:p>
      <w:pPr>
        <w:pageBreakBefore w:val="0"/>
        <w:widowControl w:val="0"/>
        <w:kinsoku/>
        <w:wordWrap/>
        <w:overflowPunct/>
        <w:topLinePunct w:val="0"/>
        <w:autoSpaceDE/>
        <w:autoSpaceDN/>
        <w:bidi w:val="0"/>
        <w:adjustRightInd/>
        <w:snapToGrid/>
        <w:spacing w:line="520" w:lineRule="exact"/>
        <w:ind w:left="0" w:leftChars="0" w:firstLine="0" w:firstLineChars="0"/>
        <w:jc w:val="left"/>
        <w:textAlignment w:val="auto"/>
        <w:rPr>
          <w:rFonts w:hint="default" w:ascii="Times New Roman" w:hAnsi="Times New Roman" w:eastAsia="宋体" w:cs="Times New Roman"/>
          <w:b/>
          <w:bCs w:val="0"/>
          <w:color w:val="000000"/>
          <w:kern w:val="0"/>
          <w:sz w:val="24"/>
          <w:szCs w:val="24"/>
          <w:highlight w:val="none"/>
          <w:lang w:bidi="ar"/>
        </w:rPr>
      </w:pPr>
      <w:r>
        <w:rPr>
          <w:rFonts w:hint="default" w:ascii="Times New Roman" w:hAnsi="Times New Roman" w:eastAsia="宋体" w:cs="Times New Roman"/>
          <w:b/>
          <w:bCs w:val="0"/>
          <w:sz w:val="24"/>
          <w:szCs w:val="24"/>
          <w:highlight w:val="none"/>
          <w:lang w:val="en-US" w:eastAsia="zh-CN"/>
        </w:rPr>
        <w:t>二</w:t>
      </w:r>
      <w:r>
        <w:rPr>
          <w:rFonts w:hint="default" w:ascii="Times New Roman" w:hAnsi="Times New Roman" w:eastAsia="宋体" w:cs="Times New Roman"/>
          <w:b/>
          <w:bCs w:val="0"/>
          <w:sz w:val="24"/>
          <w:szCs w:val="24"/>
          <w:highlight w:val="none"/>
        </w:rPr>
        <w:t>、</w:t>
      </w:r>
      <w:r>
        <w:rPr>
          <w:rFonts w:hint="eastAsia" w:ascii="Times New Roman" w:hAnsi="Times New Roman" w:eastAsia="宋体" w:cs="Times New Roman"/>
          <w:b/>
          <w:bCs w:val="0"/>
          <w:sz w:val="24"/>
          <w:szCs w:val="24"/>
          <w:highlight w:val="none"/>
          <w:lang w:val="en-US" w:eastAsia="zh-CN"/>
        </w:rPr>
        <w:t>澄清</w:t>
      </w:r>
      <w:r>
        <w:rPr>
          <w:rFonts w:hint="default" w:ascii="Times New Roman" w:hAnsi="Times New Roman" w:eastAsia="宋体" w:cs="Times New Roman"/>
          <w:b/>
          <w:bCs w:val="0"/>
          <w:sz w:val="24"/>
          <w:szCs w:val="24"/>
          <w:highlight w:val="none"/>
        </w:rPr>
        <w:t>部分</w:t>
      </w:r>
      <w:r>
        <w:rPr>
          <w:rFonts w:hint="default" w:ascii="Times New Roman" w:hAnsi="Times New Roman" w:eastAsia="宋体" w:cs="Times New Roman"/>
          <w:b/>
          <w:bCs w:val="0"/>
          <w:sz w:val="24"/>
          <w:szCs w:val="24"/>
          <w:highlight w:val="none"/>
          <w:lang w:eastAsia="zh-CN"/>
        </w:rPr>
        <w:t>（</w:t>
      </w:r>
      <w:r>
        <w:rPr>
          <w:rFonts w:hint="default" w:ascii="Times New Roman" w:hAnsi="Times New Roman" w:eastAsia="宋体" w:cs="Times New Roman"/>
          <w:b/>
          <w:bCs w:val="0"/>
          <w:sz w:val="24"/>
          <w:szCs w:val="24"/>
          <w:highlight w:val="none"/>
          <w:lang w:val="en-US" w:eastAsia="zh-CN"/>
        </w:rPr>
        <w:t>共</w:t>
      </w:r>
      <w:r>
        <w:rPr>
          <w:rFonts w:hint="eastAsia" w:ascii="Times New Roman" w:hAnsi="Times New Roman" w:eastAsia="宋体" w:cs="Times New Roman"/>
          <w:b/>
          <w:bCs w:val="0"/>
          <w:sz w:val="24"/>
          <w:szCs w:val="24"/>
          <w:highlight w:val="none"/>
          <w:lang w:val="en-US" w:eastAsia="zh-CN"/>
        </w:rPr>
        <w:t>4</w:t>
      </w:r>
      <w:r>
        <w:rPr>
          <w:rFonts w:hint="default" w:ascii="Times New Roman" w:hAnsi="Times New Roman" w:eastAsia="宋体" w:cs="Times New Roman"/>
          <w:b/>
          <w:bCs w:val="0"/>
          <w:sz w:val="24"/>
          <w:szCs w:val="24"/>
          <w:highlight w:val="none"/>
          <w:lang w:val="en-US" w:eastAsia="zh-CN"/>
        </w:rPr>
        <w:t>条</w:t>
      </w:r>
      <w:r>
        <w:rPr>
          <w:rFonts w:hint="default" w:ascii="Times New Roman" w:hAnsi="Times New Roman" w:eastAsia="宋体" w:cs="Times New Roman"/>
          <w:b/>
          <w:bCs w:val="0"/>
          <w:sz w:val="24"/>
          <w:szCs w:val="24"/>
          <w:highlight w:val="none"/>
          <w:lang w:eastAsia="zh-CN"/>
        </w:rPr>
        <w:t>）</w:t>
      </w:r>
      <w:r>
        <w:rPr>
          <w:rFonts w:hint="default" w:ascii="Times New Roman" w:hAnsi="Times New Roman" w:eastAsia="宋体" w:cs="Times New Roman"/>
          <w:b/>
          <w:bCs w:val="0"/>
          <w:sz w:val="24"/>
          <w:szCs w:val="24"/>
          <w:highlight w:val="none"/>
        </w:rPr>
        <w:t>：</w:t>
      </w:r>
    </w:p>
    <w:p>
      <w:pPr>
        <w:pStyle w:val="2"/>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1、本项目招标的防爆罐数量变更为14个。</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宋体" w:cs="Times New Roman"/>
          <w:sz w:val="24"/>
          <w:szCs w:val="24"/>
          <w:highlight w:val="none"/>
          <w:lang w:val="en-US" w:eastAsia="zh-CN"/>
        </w:rPr>
      </w:pPr>
      <w:r>
        <w:rPr>
          <w:rFonts w:hint="eastAsia" w:ascii="Times New Roman" w:hAnsi="Times New Roman" w:eastAsia="宋体" w:cs="Times New Roman"/>
          <w:sz w:val="24"/>
          <w:szCs w:val="24"/>
          <w:highlight w:val="none"/>
          <w:lang w:val="en-US" w:eastAsia="zh-CN"/>
        </w:rPr>
        <w:t>2、本项目设置最高限价，最高限价为到项目现场完税价或DDP买方项目现场价1358.6611万元人民币。若投标报价不是到项目现场完税价或DDP买方项目现场价，其投标将被否决；若投标货币为外</w:t>
      </w:r>
      <w:bookmarkStart w:id="0" w:name="_GoBack"/>
      <w:bookmarkEnd w:id="0"/>
      <w:r>
        <w:rPr>
          <w:rFonts w:hint="eastAsia" w:ascii="Times New Roman" w:hAnsi="Times New Roman" w:eastAsia="宋体" w:cs="Times New Roman"/>
          <w:sz w:val="24"/>
          <w:szCs w:val="24"/>
          <w:highlight w:val="none"/>
          <w:lang w:val="en-US" w:eastAsia="zh-CN"/>
        </w:rPr>
        <w:t>币，按照开标当日中国银行总行首次发布的外币对人民币的现汇卖出价将投标总报价折算成人民币金额，再与最高限价比较，折算后的投标总报价人民币金额超过最高限价的，其投标将被否决。</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宋体" w:cs="Times New Roman"/>
          <w:sz w:val="24"/>
          <w:szCs w:val="24"/>
          <w:highlight w:val="none"/>
          <w:lang w:val="en-US" w:eastAsia="zh-CN"/>
        </w:rPr>
      </w:pPr>
      <w:r>
        <w:rPr>
          <w:rFonts w:hint="eastAsia" w:ascii="Times New Roman" w:hAnsi="Times New Roman" w:eastAsia="宋体" w:cs="Times New Roman"/>
          <w:sz w:val="24"/>
          <w:szCs w:val="24"/>
          <w:highlight w:val="none"/>
          <w:lang w:val="en-US" w:eastAsia="zh-CN"/>
        </w:rPr>
        <w:t>3、招标文件第二册第六章第★15.1条：“投标保证金金额：450,000.00元人民币或金额不低于450,000.00元人民币的美元或欧元”</w:t>
      </w:r>
      <w:r>
        <w:rPr>
          <w:rFonts w:hint="eastAsia" w:ascii="Times New Roman" w:hAnsi="Times New Roman" w:eastAsia="宋体" w:cs="Times New Roman"/>
          <w:b/>
          <w:bCs/>
          <w:sz w:val="24"/>
          <w:szCs w:val="24"/>
          <w:highlight w:val="none"/>
          <w:lang w:val="en-US" w:eastAsia="zh-CN"/>
        </w:rPr>
        <w:t>变更为：</w:t>
      </w:r>
      <w:r>
        <w:rPr>
          <w:rFonts w:hint="eastAsia" w:ascii="Times New Roman" w:hAnsi="Times New Roman" w:eastAsia="宋体" w:cs="Times New Roman"/>
          <w:sz w:val="24"/>
          <w:szCs w:val="24"/>
          <w:highlight w:val="none"/>
          <w:lang w:val="en-US" w:eastAsia="zh-CN"/>
        </w:rPr>
        <w:t>“投标保证金金额：250,000.00元人民币或金额不低于250,000.00元人民币的美元或欧元”。</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highlight w:val="none"/>
          <w:lang w:val="en-US" w:eastAsia="zh-CN"/>
        </w:rPr>
      </w:pPr>
      <w:r>
        <w:rPr>
          <w:rFonts w:hint="eastAsia" w:ascii="Times New Roman" w:hAnsi="Times New Roman" w:eastAsia="宋体" w:cs="Times New Roman"/>
          <w:sz w:val="24"/>
          <w:szCs w:val="24"/>
          <w:highlight w:val="none"/>
          <w:lang w:val="en-US" w:eastAsia="zh-CN"/>
        </w:rPr>
        <w:t>4、本项目投标截止时间、开标时间变更为：“2024年8月8日10:00（北京时间）”，投标保证金递交截止时间、投标有效期等相关时间相应顺延。</w:t>
      </w:r>
    </w:p>
    <w:p>
      <w:pPr>
        <w:pageBreakBefore w:val="0"/>
        <w:widowControl w:val="0"/>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sz w:val="24"/>
          <w:szCs w:val="24"/>
          <w:highlight w:val="none"/>
          <w:lang w:val="en-US" w:eastAsia="zh-CN"/>
        </w:rPr>
      </w:pPr>
    </w:p>
    <w:p>
      <w:pPr>
        <w:pStyle w:val="2"/>
        <w:pageBreakBefore w:val="0"/>
        <w:widowControl w:val="0"/>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sz w:val="24"/>
          <w:szCs w:val="24"/>
          <w:highlight w:val="none"/>
          <w:lang w:val="en-US" w:eastAsia="zh-CN"/>
        </w:rPr>
      </w:pPr>
    </w:p>
    <w:p>
      <w:pPr>
        <w:pageBreakBefore w:val="0"/>
        <w:widowControl w:val="0"/>
        <w:kinsoku/>
        <w:wordWrap/>
        <w:overflowPunct/>
        <w:topLinePunct w:val="0"/>
        <w:autoSpaceDE/>
        <w:autoSpaceDN/>
        <w:bidi w:val="0"/>
        <w:adjustRightInd/>
        <w:snapToGrid/>
        <w:spacing w:line="520" w:lineRule="exact"/>
        <w:textAlignment w:val="auto"/>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b/>
          <w:bCs/>
          <w:color w:val="auto"/>
          <w:sz w:val="24"/>
          <w:szCs w:val="24"/>
          <w:highlight w:val="none"/>
        </w:rPr>
        <w:t>说明：</w:t>
      </w:r>
      <w:r>
        <w:rPr>
          <w:rFonts w:hint="default" w:ascii="Times New Roman" w:hAnsi="Times New Roman" w:eastAsia="宋体" w:cs="Times New Roman"/>
          <w:color w:val="auto"/>
          <w:sz w:val="24"/>
          <w:szCs w:val="24"/>
          <w:highlight w:val="none"/>
        </w:rPr>
        <w:t>以上</w:t>
      </w:r>
      <w:r>
        <w:rPr>
          <w:rFonts w:hint="default" w:ascii="Times New Roman" w:hAnsi="Times New Roman" w:eastAsia="宋体" w:cs="Times New Roman"/>
          <w:color w:val="auto"/>
          <w:sz w:val="24"/>
          <w:szCs w:val="24"/>
          <w:highlight w:val="none"/>
          <w:lang w:val="en-US" w:eastAsia="zh-CN"/>
        </w:rPr>
        <w:t>通知</w:t>
      </w:r>
      <w:r>
        <w:rPr>
          <w:rFonts w:hint="default" w:ascii="Times New Roman" w:hAnsi="Times New Roman" w:eastAsia="宋体" w:cs="Times New Roman"/>
          <w:color w:val="auto"/>
          <w:sz w:val="24"/>
          <w:szCs w:val="24"/>
          <w:highlight w:val="none"/>
        </w:rPr>
        <w:t>作为招标文件的组成部分，与招标文件具有同等法律效力。</w:t>
      </w:r>
      <w:r>
        <w:rPr>
          <w:rFonts w:hint="eastAsia" w:ascii="Times New Roman" w:hAnsi="Times New Roman" w:eastAsia="宋体" w:cs="Times New Roman"/>
          <w:color w:val="auto"/>
          <w:sz w:val="24"/>
          <w:szCs w:val="24"/>
          <w:highlight w:val="none"/>
          <w:lang w:val="en-US" w:eastAsia="zh-CN"/>
        </w:rPr>
        <w:t>与原招标文件不一致的，以本通知为准</w:t>
      </w:r>
      <w:r>
        <w:rPr>
          <w:rFonts w:hint="default" w:ascii="Times New Roman" w:hAnsi="Times New Roman" w:eastAsia="宋体"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rPr>
        <w:t>一经</w:t>
      </w:r>
      <w:r>
        <w:rPr>
          <w:rFonts w:hint="default" w:ascii="Times New Roman" w:hAnsi="Times New Roman" w:eastAsia="宋体" w:cs="Times New Roman"/>
          <w:color w:val="auto"/>
          <w:sz w:val="24"/>
          <w:szCs w:val="24"/>
          <w:highlight w:val="none"/>
          <w:lang w:eastAsia="zh-CN"/>
        </w:rPr>
        <w:t>必联网</w:t>
      </w:r>
      <w:r>
        <w:rPr>
          <w:rFonts w:hint="default" w:ascii="Times New Roman" w:hAnsi="Times New Roman" w:eastAsia="宋体" w:cs="Times New Roman"/>
          <w:color w:val="auto"/>
          <w:sz w:val="24"/>
          <w:szCs w:val="24"/>
          <w:highlight w:val="none"/>
        </w:rPr>
        <w:t>（</w:t>
      </w:r>
      <w:r>
        <w:rPr>
          <w:rFonts w:hint="default" w:ascii="Times New Roman" w:hAnsi="Times New Roman" w:eastAsia="宋体" w:cs="Times New Roman"/>
          <w:color w:val="auto"/>
          <w:sz w:val="24"/>
          <w:szCs w:val="24"/>
          <w:highlight w:val="none"/>
        </w:rPr>
        <w:fldChar w:fldCharType="begin"/>
      </w:r>
      <w:r>
        <w:rPr>
          <w:rFonts w:hint="default" w:ascii="Times New Roman" w:hAnsi="Times New Roman" w:eastAsia="宋体" w:cs="Times New Roman"/>
          <w:color w:val="auto"/>
          <w:sz w:val="24"/>
          <w:szCs w:val="24"/>
          <w:highlight w:val="none"/>
        </w:rPr>
        <w:instrText xml:space="preserve"> HYPERLINK "http://www.ebnew.com" </w:instrText>
      </w:r>
      <w:r>
        <w:rPr>
          <w:rFonts w:hint="default" w:ascii="Times New Roman" w:hAnsi="Times New Roman" w:eastAsia="宋体" w:cs="Times New Roman"/>
          <w:color w:val="auto"/>
          <w:sz w:val="24"/>
          <w:szCs w:val="24"/>
          <w:highlight w:val="none"/>
        </w:rPr>
        <w:fldChar w:fldCharType="separate"/>
      </w:r>
      <w:r>
        <w:rPr>
          <w:rStyle w:val="10"/>
          <w:rFonts w:hint="default" w:ascii="Times New Roman" w:hAnsi="Times New Roman" w:eastAsia="宋体" w:cs="Times New Roman"/>
          <w:color w:val="auto"/>
          <w:sz w:val="24"/>
          <w:szCs w:val="24"/>
          <w:highlight w:val="none"/>
        </w:rPr>
        <w:t>www.ebnew.com</w:t>
      </w:r>
      <w:r>
        <w:rPr>
          <w:rStyle w:val="10"/>
          <w:rFonts w:hint="default" w:ascii="Times New Roman" w:hAnsi="Times New Roman" w:eastAsia="宋体" w:cs="Times New Roman"/>
          <w:color w:val="auto"/>
          <w:sz w:val="24"/>
          <w:szCs w:val="24"/>
          <w:highlight w:val="none"/>
        </w:rPr>
        <w:fldChar w:fldCharType="end"/>
      </w:r>
      <w:r>
        <w:rPr>
          <w:rFonts w:hint="default" w:ascii="Times New Roman" w:hAnsi="Times New Roman" w:eastAsia="宋体" w:cs="Times New Roman"/>
          <w:color w:val="auto"/>
          <w:sz w:val="24"/>
          <w:szCs w:val="24"/>
          <w:highlight w:val="none"/>
        </w:rPr>
        <w:t>）发布，视为潜在投标人知晓该全部内容。</w:t>
      </w:r>
    </w:p>
    <w:p>
      <w:pPr>
        <w:pageBreakBefore w:val="0"/>
        <w:widowControl w:val="0"/>
        <w:kinsoku/>
        <w:wordWrap/>
        <w:overflowPunct/>
        <w:topLinePunct w:val="0"/>
        <w:autoSpaceDE/>
        <w:autoSpaceDN/>
        <w:bidi w:val="0"/>
        <w:adjustRightInd/>
        <w:snapToGrid/>
        <w:spacing w:line="520" w:lineRule="exact"/>
        <w:jc w:val="right"/>
        <w:textAlignment w:val="auto"/>
        <w:rPr>
          <w:rFonts w:hint="default" w:ascii="Times New Roman" w:hAnsi="Times New Roman" w:eastAsia="宋体" w:cs="Times New Roman"/>
          <w:color w:val="auto"/>
          <w:sz w:val="24"/>
          <w:szCs w:val="24"/>
          <w:highlight w:val="none"/>
        </w:rPr>
      </w:pPr>
    </w:p>
    <w:p>
      <w:pPr>
        <w:pageBreakBefore w:val="0"/>
        <w:widowControl w:val="0"/>
        <w:kinsoku/>
        <w:wordWrap/>
        <w:overflowPunct/>
        <w:topLinePunct w:val="0"/>
        <w:autoSpaceDE/>
        <w:autoSpaceDN/>
        <w:bidi w:val="0"/>
        <w:adjustRightInd/>
        <w:snapToGrid/>
        <w:spacing w:line="520" w:lineRule="exact"/>
        <w:jc w:val="right"/>
        <w:textAlignment w:val="auto"/>
        <w:rPr>
          <w:rFonts w:hint="default" w:ascii="Times New Roman" w:hAnsi="Times New Roman" w:eastAsia="宋体" w:cs="Times New Roman"/>
          <w:color w:val="auto"/>
          <w:sz w:val="24"/>
          <w:szCs w:val="24"/>
          <w:highlight w:val="none"/>
        </w:rPr>
      </w:pPr>
    </w:p>
    <w:p>
      <w:pPr>
        <w:pageBreakBefore w:val="0"/>
        <w:widowControl w:val="0"/>
        <w:kinsoku/>
        <w:wordWrap/>
        <w:overflowPunct/>
        <w:topLinePunct w:val="0"/>
        <w:autoSpaceDE/>
        <w:autoSpaceDN/>
        <w:bidi w:val="0"/>
        <w:adjustRightInd/>
        <w:snapToGrid/>
        <w:spacing w:line="520" w:lineRule="exact"/>
        <w:jc w:val="right"/>
        <w:textAlignment w:val="auto"/>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招标人：</w:t>
      </w:r>
      <w:r>
        <w:rPr>
          <w:rFonts w:hint="default" w:ascii="Times New Roman" w:hAnsi="Times New Roman" w:eastAsia="宋体" w:cs="Times New Roman"/>
          <w:color w:val="auto"/>
          <w:sz w:val="24"/>
          <w:szCs w:val="24"/>
          <w:highlight w:val="none"/>
          <w:lang w:eastAsia="zh-CN"/>
        </w:rPr>
        <w:t>重庆机场集团有限公司</w:t>
      </w:r>
    </w:p>
    <w:p>
      <w:pPr>
        <w:pageBreakBefore w:val="0"/>
        <w:widowControl w:val="0"/>
        <w:kinsoku/>
        <w:wordWrap/>
        <w:overflowPunct/>
        <w:topLinePunct w:val="0"/>
        <w:autoSpaceDE/>
        <w:autoSpaceDN/>
        <w:bidi w:val="0"/>
        <w:adjustRightInd/>
        <w:snapToGrid/>
        <w:spacing w:line="520" w:lineRule="exact"/>
        <w:jc w:val="right"/>
        <w:textAlignment w:val="auto"/>
        <w:rPr>
          <w:rFonts w:hint="default" w:ascii="Times New Roman" w:hAnsi="Times New Roman" w:eastAsia="宋体" w:cs="Times New Roman"/>
          <w:color w:val="auto"/>
          <w:sz w:val="24"/>
          <w:szCs w:val="24"/>
          <w:highlight w:val="none"/>
          <w:lang w:eastAsia="zh-CN"/>
        </w:rPr>
      </w:pPr>
      <w:r>
        <w:rPr>
          <w:rFonts w:hint="default" w:ascii="Times New Roman" w:hAnsi="Times New Roman" w:eastAsia="宋体" w:cs="Times New Roman"/>
          <w:color w:val="auto"/>
          <w:sz w:val="24"/>
          <w:szCs w:val="24"/>
          <w:highlight w:val="none"/>
        </w:rPr>
        <w:t>招标代理机构：重庆国际投资咨询集团有限公司</w:t>
      </w:r>
    </w:p>
    <w:p>
      <w:pPr>
        <w:pageBreakBefore w:val="0"/>
        <w:widowControl w:val="0"/>
        <w:kinsoku/>
        <w:wordWrap/>
        <w:overflowPunct/>
        <w:topLinePunct w:val="0"/>
        <w:autoSpaceDE/>
        <w:autoSpaceDN/>
        <w:bidi w:val="0"/>
        <w:adjustRightInd/>
        <w:snapToGrid/>
        <w:spacing w:line="520" w:lineRule="exact"/>
        <w:jc w:val="right"/>
        <w:textAlignment w:val="auto"/>
        <w:rPr>
          <w:rFonts w:hint="default" w:ascii="Times New Roman" w:hAnsi="Times New Roman" w:eastAsia="宋体" w:cs="Times New Roman"/>
          <w:color w:val="auto"/>
          <w:sz w:val="24"/>
          <w:szCs w:val="24"/>
          <w:highlight w:val="none"/>
          <w:lang w:eastAsia="zh-CN"/>
        </w:rPr>
      </w:pPr>
      <w:r>
        <w:rPr>
          <w:rFonts w:hint="default" w:ascii="Times New Roman" w:hAnsi="Times New Roman" w:eastAsia="宋体" w:cs="Times New Roman"/>
          <w:color w:val="auto"/>
          <w:sz w:val="24"/>
          <w:szCs w:val="24"/>
          <w:highlight w:val="none"/>
          <w:lang w:eastAsia="zh-CN"/>
        </w:rPr>
        <w:t>2024年</w:t>
      </w:r>
      <w:r>
        <w:rPr>
          <w:rFonts w:hint="default" w:ascii="Times New Roman" w:hAnsi="Times New Roman" w:eastAsia="宋体" w:cs="Times New Roman"/>
          <w:color w:val="auto"/>
          <w:sz w:val="24"/>
          <w:szCs w:val="24"/>
          <w:highlight w:val="none"/>
          <w:lang w:val="en-US" w:eastAsia="zh-CN"/>
        </w:rPr>
        <w:t>7</w:t>
      </w:r>
      <w:r>
        <w:rPr>
          <w:rFonts w:hint="default" w:ascii="Times New Roman" w:hAnsi="Times New Roman" w:eastAsia="宋体" w:cs="Times New Roman"/>
          <w:color w:val="auto"/>
          <w:sz w:val="24"/>
          <w:szCs w:val="24"/>
          <w:highlight w:val="none"/>
          <w:lang w:eastAsia="zh-CN"/>
        </w:rPr>
        <w:t>月</w:t>
      </w:r>
      <w:r>
        <w:rPr>
          <w:rFonts w:hint="eastAsia" w:ascii="Times New Roman" w:hAnsi="Times New Roman" w:eastAsia="宋体" w:cs="Times New Roman"/>
          <w:color w:val="auto"/>
          <w:sz w:val="24"/>
          <w:szCs w:val="24"/>
          <w:highlight w:val="none"/>
          <w:lang w:val="en-US" w:eastAsia="zh-CN"/>
        </w:rPr>
        <w:t>23</w:t>
      </w:r>
      <w:r>
        <w:rPr>
          <w:rFonts w:hint="default" w:ascii="Times New Roman" w:hAnsi="Times New Roman" w:eastAsia="宋体" w:cs="Times New Roman"/>
          <w:color w:val="auto"/>
          <w:sz w:val="24"/>
          <w:szCs w:val="24"/>
          <w:highlight w:val="none"/>
          <w:lang w:eastAsia="zh-CN"/>
        </w:rPr>
        <w:t>日</w:t>
      </w:r>
    </w:p>
    <w:sectPr>
      <w:footerReference r:id="rId3" w:type="default"/>
      <w:pgSz w:w="11906" w:h="16838"/>
      <w:pgMar w:top="1417" w:right="1417" w:bottom="1417" w:left="1417"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pPr>
                          <w:r>
                            <w:fldChar w:fldCharType="begin"/>
                          </w:r>
                          <w:r>
                            <w:instrText xml:space="preserve"> PAGE  \* MERGEFORMAT </w:instrText>
                          </w:r>
                          <w:r>
                            <w:fldChar w:fldCharType="separate"/>
                          </w:r>
                          <w:r>
                            <w:t>1</w:t>
                          </w:r>
                          <w:r>
                            <w:fldChar w:fldCharType="end"/>
                          </w:r>
                          <w:r>
                            <w:t xml:space="preserve"> / </w:t>
                          </w:r>
                          <w:r>
                            <w:fldChar w:fldCharType="begin"/>
                          </w:r>
                          <w:r>
                            <w:instrText xml:space="preserve"> NUMPAGES  \* MERGEFORMAT </w:instrText>
                          </w:r>
                          <w:r>
                            <w:fldChar w:fldCharType="separate"/>
                          </w:r>
                          <w:r>
                            <w:t>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mor5U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pqK+VMQIAAGMEAAAOAAAAAAAAAAEAIAAAAB8BAABkcnMvZTJvRG9jLnhtbFBLBQYA&#10;AAAABgAGAFkBAADCBQAAAAA=&#10;">
              <v:fill on="f" focussize="0,0"/>
              <v:stroke on="f" weight="0.5pt"/>
              <v:imagedata o:title=""/>
              <o:lock v:ext="edit" aspectratio="f"/>
              <v:textbox inset="0mm,0mm,0mm,0mm" style="mso-fit-shape-to-text:t;">
                <w:txbxContent>
                  <w:p>
                    <w:pPr>
                      <w:pStyle w:val="5"/>
                    </w:pPr>
                    <w:r>
                      <w:fldChar w:fldCharType="begin"/>
                    </w:r>
                    <w:r>
                      <w:instrText xml:space="preserve"> PAGE  \* MERGEFORMAT </w:instrText>
                    </w:r>
                    <w:r>
                      <w:fldChar w:fldCharType="separate"/>
                    </w:r>
                    <w:r>
                      <w:t>1</w:t>
                    </w:r>
                    <w:r>
                      <w:fldChar w:fldCharType="end"/>
                    </w:r>
                    <w:r>
                      <w:t xml:space="preserve"> / </w:t>
                    </w:r>
                    <w:r>
                      <w:fldChar w:fldCharType="begin"/>
                    </w:r>
                    <w:r>
                      <w:instrText xml:space="preserve"> NUMPAGES  \* MERGEFORMAT </w:instrText>
                    </w:r>
                    <w:r>
                      <w:fldChar w:fldCharType="separate"/>
                    </w:r>
                    <w:r>
                      <w:t>4</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8"/>
    <w:multiLevelType w:val="multilevel"/>
    <w:tmpl w:val="00000008"/>
    <w:lvl w:ilvl="0" w:tentative="0">
      <w:start w:val="1"/>
      <w:numFmt w:val="none"/>
      <w:lvlText w:val=""/>
      <w:lvlJc w:val="left"/>
      <w:pPr>
        <w:tabs>
          <w:tab w:val="left" w:pos="425"/>
        </w:tabs>
        <w:ind w:left="0" w:firstLine="284"/>
      </w:pPr>
    </w:lvl>
    <w:lvl w:ilvl="1" w:tentative="0">
      <w:start w:val="1"/>
      <w:numFmt w:val="chineseCounting"/>
      <w:lvlText w:val="%2、"/>
      <w:lvlJc w:val="left"/>
      <w:pPr>
        <w:tabs>
          <w:tab w:val="left" w:pos="708"/>
        </w:tabs>
        <w:ind w:left="-284" w:firstLine="284"/>
      </w:pPr>
    </w:lvl>
    <w:lvl w:ilvl="2" w:tentative="0">
      <w:start w:val="1"/>
      <w:numFmt w:val="none"/>
      <w:pStyle w:val="3"/>
      <w:lvlText w:val=""/>
      <w:lvlJc w:val="left"/>
      <w:pPr>
        <w:tabs>
          <w:tab w:val="left" w:pos="1418"/>
        </w:tabs>
        <w:ind w:left="0" w:firstLine="284"/>
      </w:pPr>
    </w:lvl>
    <w:lvl w:ilvl="3" w:tentative="0">
      <w:start w:val="1"/>
      <w:numFmt w:val="none"/>
      <w:lvlText w:val=""/>
      <w:lvlJc w:val="left"/>
      <w:pPr>
        <w:tabs>
          <w:tab w:val="left" w:pos="1984"/>
        </w:tabs>
        <w:ind w:left="0" w:firstLine="284"/>
      </w:pPr>
    </w:lvl>
    <w:lvl w:ilvl="4" w:tentative="0">
      <w:start w:val="1"/>
      <w:numFmt w:val="none"/>
      <w:lvlText w:val=""/>
      <w:lvlJc w:val="left"/>
      <w:pPr>
        <w:tabs>
          <w:tab w:val="left" w:pos="2551"/>
        </w:tabs>
        <w:ind w:left="0" w:firstLine="284"/>
      </w:pPr>
    </w:lvl>
    <w:lvl w:ilvl="5" w:tentative="0">
      <w:start w:val="1"/>
      <w:numFmt w:val="none"/>
      <w:lvlText w:val=""/>
      <w:lvlJc w:val="left"/>
      <w:pPr>
        <w:tabs>
          <w:tab w:val="left" w:pos="3260"/>
        </w:tabs>
        <w:ind w:left="0" w:firstLine="284"/>
      </w:pPr>
    </w:lvl>
    <w:lvl w:ilvl="6" w:tentative="0">
      <w:start w:val="1"/>
      <w:numFmt w:val="none"/>
      <w:lvlText w:val=""/>
      <w:lvlJc w:val="left"/>
      <w:pPr>
        <w:tabs>
          <w:tab w:val="left" w:pos="3827"/>
        </w:tabs>
        <w:ind w:left="0" w:firstLine="284"/>
      </w:pPr>
    </w:lvl>
    <w:lvl w:ilvl="7" w:tentative="0">
      <w:start w:val="1"/>
      <w:numFmt w:val="none"/>
      <w:lvlText w:val=""/>
      <w:lvlJc w:val="left"/>
      <w:pPr>
        <w:tabs>
          <w:tab w:val="left" w:pos="4394"/>
        </w:tabs>
        <w:ind w:left="0" w:firstLine="284"/>
      </w:pPr>
    </w:lvl>
    <w:lvl w:ilvl="8" w:tentative="0">
      <w:start w:val="1"/>
      <w:numFmt w:val="none"/>
      <w:lvlText w:val=""/>
      <w:lvlJc w:val="left"/>
      <w:pPr>
        <w:tabs>
          <w:tab w:val="left" w:pos="5102"/>
        </w:tabs>
        <w:ind w:left="0" w:firstLine="284"/>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5"/>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zkxNDM3NzU0ZTNlNTAwODgxM2IzYmU0YTZhN2VlYmUifQ=="/>
  </w:docVars>
  <w:rsids>
    <w:rsidRoot w:val="00172A27"/>
    <w:rsid w:val="00026CF0"/>
    <w:rsid w:val="00085A1A"/>
    <w:rsid w:val="000D4458"/>
    <w:rsid w:val="000F12C8"/>
    <w:rsid w:val="001842BF"/>
    <w:rsid w:val="00192A33"/>
    <w:rsid w:val="00262996"/>
    <w:rsid w:val="003313D8"/>
    <w:rsid w:val="004E594F"/>
    <w:rsid w:val="004F772A"/>
    <w:rsid w:val="005D0BD9"/>
    <w:rsid w:val="00602008"/>
    <w:rsid w:val="00612FC4"/>
    <w:rsid w:val="00757372"/>
    <w:rsid w:val="00763C22"/>
    <w:rsid w:val="00845032"/>
    <w:rsid w:val="00852A71"/>
    <w:rsid w:val="008607E5"/>
    <w:rsid w:val="008D7AD1"/>
    <w:rsid w:val="00911246"/>
    <w:rsid w:val="00A56B22"/>
    <w:rsid w:val="00A66060"/>
    <w:rsid w:val="00B75B61"/>
    <w:rsid w:val="00B869A1"/>
    <w:rsid w:val="00C15795"/>
    <w:rsid w:val="00CC2C66"/>
    <w:rsid w:val="00CF63B8"/>
    <w:rsid w:val="00D729D0"/>
    <w:rsid w:val="00DD3E46"/>
    <w:rsid w:val="00E34C55"/>
    <w:rsid w:val="00E67C25"/>
    <w:rsid w:val="00F678D4"/>
    <w:rsid w:val="00F81BB1"/>
    <w:rsid w:val="032A3628"/>
    <w:rsid w:val="04836E5C"/>
    <w:rsid w:val="0AA2400C"/>
    <w:rsid w:val="0AF35B68"/>
    <w:rsid w:val="0B512B4C"/>
    <w:rsid w:val="0EA004AF"/>
    <w:rsid w:val="0EC64D50"/>
    <w:rsid w:val="12175656"/>
    <w:rsid w:val="140F3D61"/>
    <w:rsid w:val="14AA6BF0"/>
    <w:rsid w:val="1AB34945"/>
    <w:rsid w:val="1BC55695"/>
    <w:rsid w:val="1D3D5EB6"/>
    <w:rsid w:val="1EE5500A"/>
    <w:rsid w:val="1F6D7F83"/>
    <w:rsid w:val="1FA8682E"/>
    <w:rsid w:val="20006BA4"/>
    <w:rsid w:val="200D603A"/>
    <w:rsid w:val="214D0918"/>
    <w:rsid w:val="22930AD2"/>
    <w:rsid w:val="2577622D"/>
    <w:rsid w:val="26C20735"/>
    <w:rsid w:val="288B26CD"/>
    <w:rsid w:val="29814C6C"/>
    <w:rsid w:val="29A929F1"/>
    <w:rsid w:val="2B6302BA"/>
    <w:rsid w:val="2BB31CDA"/>
    <w:rsid w:val="2C707555"/>
    <w:rsid w:val="2DFB3CBC"/>
    <w:rsid w:val="33821853"/>
    <w:rsid w:val="36AE227C"/>
    <w:rsid w:val="38633653"/>
    <w:rsid w:val="39B92A73"/>
    <w:rsid w:val="3A4F5C56"/>
    <w:rsid w:val="3AA341F9"/>
    <w:rsid w:val="3B6B5AA4"/>
    <w:rsid w:val="3D247155"/>
    <w:rsid w:val="3DF73097"/>
    <w:rsid w:val="43760473"/>
    <w:rsid w:val="45A675BF"/>
    <w:rsid w:val="471A5FD4"/>
    <w:rsid w:val="49052267"/>
    <w:rsid w:val="49A400F3"/>
    <w:rsid w:val="49E95885"/>
    <w:rsid w:val="4A7033BA"/>
    <w:rsid w:val="4E595043"/>
    <w:rsid w:val="50626A8F"/>
    <w:rsid w:val="5414136D"/>
    <w:rsid w:val="5450447D"/>
    <w:rsid w:val="54E04485"/>
    <w:rsid w:val="599F2DA0"/>
    <w:rsid w:val="5A9E4325"/>
    <w:rsid w:val="5AAE0754"/>
    <w:rsid w:val="5AB46B8C"/>
    <w:rsid w:val="5B69489E"/>
    <w:rsid w:val="5C1A5C37"/>
    <w:rsid w:val="5D172AF3"/>
    <w:rsid w:val="610F4E1E"/>
    <w:rsid w:val="62A34E08"/>
    <w:rsid w:val="67F557CB"/>
    <w:rsid w:val="6BC53046"/>
    <w:rsid w:val="6EBC1414"/>
    <w:rsid w:val="70737160"/>
    <w:rsid w:val="74BE1757"/>
    <w:rsid w:val="75E338EB"/>
    <w:rsid w:val="79A27942"/>
    <w:rsid w:val="7B504506"/>
    <w:rsid w:val="7BC57718"/>
    <w:rsid w:val="7D122FE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nhideWhenUsed="0" w:uiPriority="0"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3"/>
    <w:basedOn w:val="1"/>
    <w:next w:val="1"/>
    <w:qFormat/>
    <w:uiPriority w:val="0"/>
    <w:pPr>
      <w:keepNext/>
      <w:keepLines/>
      <w:numPr>
        <w:ilvl w:val="2"/>
        <w:numId w:val="1"/>
      </w:numPr>
      <w:spacing w:before="260" w:after="260" w:line="416" w:lineRule="auto"/>
      <w:outlineLvl w:val="2"/>
    </w:pPr>
    <w:rPr>
      <w:rFonts w:ascii="Calibri" w:hAnsi="Calibri" w:cs="Times New Roman"/>
      <w:b/>
      <w:bCs/>
      <w:sz w:val="32"/>
      <w:szCs w:val="32"/>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Body Text"/>
    <w:basedOn w:val="1"/>
    <w:next w:val="1"/>
    <w:qFormat/>
    <w:uiPriority w:val="0"/>
    <w:rPr>
      <w:sz w:val="24"/>
    </w:rPr>
  </w:style>
  <w:style w:type="paragraph" w:styleId="4">
    <w:name w:val="annotation text"/>
    <w:basedOn w:val="1"/>
    <w:link w:val="13"/>
    <w:qFormat/>
    <w:uiPriority w:val="0"/>
    <w:pPr>
      <w:autoSpaceDE w:val="0"/>
      <w:autoSpaceDN w:val="0"/>
      <w:adjustRightInd w:val="0"/>
      <w:snapToGrid w:val="0"/>
      <w:spacing w:line="360" w:lineRule="auto"/>
      <w:ind w:firstLine="420"/>
      <w:jc w:val="left"/>
    </w:pPr>
    <w:rPr>
      <w:rFonts w:ascii="Calibri" w:hAnsi="Calibri" w:eastAsia="宋体" w:cs="Times New Roman"/>
    </w:rPr>
  </w:style>
  <w:style w:type="paragraph" w:styleId="5">
    <w:name w:val="footer"/>
    <w:basedOn w:val="1"/>
    <w:link w:val="15"/>
    <w:unhideWhenUsed/>
    <w:qFormat/>
    <w:uiPriority w:val="99"/>
    <w:pPr>
      <w:tabs>
        <w:tab w:val="center" w:pos="4153"/>
        <w:tab w:val="right" w:pos="8306"/>
      </w:tabs>
      <w:snapToGrid w:val="0"/>
      <w:jc w:val="left"/>
    </w:pPr>
    <w:rPr>
      <w:sz w:val="18"/>
      <w:szCs w:val="18"/>
    </w:rPr>
  </w:style>
  <w:style w:type="paragraph" w:styleId="6">
    <w:name w:val="header"/>
    <w:basedOn w:val="1"/>
    <w:link w:val="14"/>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0">
    <w:name w:val="Hyperlink"/>
    <w:basedOn w:val="9"/>
    <w:unhideWhenUsed/>
    <w:qFormat/>
    <w:uiPriority w:val="99"/>
    <w:rPr>
      <w:color w:val="0563C1" w:themeColor="hyperlink"/>
      <w:u w:val="single"/>
      <w14:textFill>
        <w14:solidFill>
          <w14:schemeClr w14:val="hlink"/>
        </w14:solidFill>
      </w14:textFill>
    </w:rPr>
  </w:style>
  <w:style w:type="character" w:styleId="11">
    <w:name w:val="annotation reference"/>
    <w:qFormat/>
    <w:uiPriority w:val="0"/>
    <w:rPr>
      <w:sz w:val="21"/>
      <w:szCs w:val="21"/>
    </w:rPr>
  </w:style>
  <w:style w:type="paragraph" w:styleId="12">
    <w:name w:val="List Paragraph"/>
    <w:basedOn w:val="1"/>
    <w:qFormat/>
    <w:uiPriority w:val="34"/>
    <w:pPr>
      <w:ind w:firstLine="420" w:firstLineChars="200"/>
    </w:pPr>
  </w:style>
  <w:style w:type="character" w:customStyle="1" w:styleId="13">
    <w:name w:val="批注文字 字符"/>
    <w:basedOn w:val="9"/>
    <w:link w:val="4"/>
    <w:qFormat/>
    <w:uiPriority w:val="0"/>
    <w:rPr>
      <w:rFonts w:ascii="Calibri" w:hAnsi="Calibri" w:eastAsia="宋体" w:cs="Times New Roman"/>
    </w:rPr>
  </w:style>
  <w:style w:type="character" w:customStyle="1" w:styleId="14">
    <w:name w:val="页眉 字符"/>
    <w:basedOn w:val="9"/>
    <w:link w:val="6"/>
    <w:qFormat/>
    <w:uiPriority w:val="99"/>
    <w:rPr>
      <w:kern w:val="2"/>
      <w:sz w:val="18"/>
      <w:szCs w:val="18"/>
    </w:rPr>
  </w:style>
  <w:style w:type="character" w:customStyle="1" w:styleId="15">
    <w:name w:val="页脚 字符"/>
    <w:basedOn w:val="9"/>
    <w:link w:val="5"/>
    <w:qFormat/>
    <w:uiPriority w:val="99"/>
    <w:rPr>
      <w:kern w:val="2"/>
      <w:sz w:val="18"/>
      <w:szCs w:val="18"/>
    </w:rPr>
  </w:style>
  <w:style w:type="character" w:customStyle="1" w:styleId="16">
    <w:name w:val="Unresolved Mention"/>
    <w:basedOn w:val="9"/>
    <w:semiHidden/>
    <w:unhideWhenUsed/>
    <w:qFormat/>
    <w:uiPriority w:val="99"/>
    <w:rPr>
      <w:color w:val="605E5C"/>
      <w:shd w:val="clear" w:color="auto" w:fill="E1DFDD"/>
    </w:rPr>
  </w:style>
  <w:style w:type="character" w:customStyle="1" w:styleId="17">
    <w:name w:val="font81"/>
    <w:basedOn w:val="9"/>
    <w:qFormat/>
    <w:uiPriority w:val="0"/>
    <w:rPr>
      <w:rFonts w:ascii="Arial" w:hAnsi="Arial" w:cs="Arial"/>
      <w:color w:val="000000"/>
      <w:sz w:val="24"/>
      <w:szCs w:val="24"/>
      <w:u w:val="none"/>
    </w:rPr>
  </w:style>
  <w:style w:type="character" w:customStyle="1" w:styleId="18">
    <w:name w:val="font21"/>
    <w:basedOn w:val="9"/>
    <w:qFormat/>
    <w:uiPriority w:val="0"/>
    <w:rPr>
      <w:rFonts w:hint="eastAsia" w:ascii="宋体" w:hAnsi="宋体" w:eastAsia="宋体" w:cs="宋体"/>
      <w:color w:val="000000"/>
      <w:sz w:val="24"/>
      <w:szCs w:val="24"/>
      <w:u w:val="none"/>
    </w:rPr>
  </w:style>
  <w:style w:type="character" w:customStyle="1" w:styleId="19">
    <w:name w:val="font91"/>
    <w:basedOn w:val="9"/>
    <w:qFormat/>
    <w:uiPriority w:val="0"/>
    <w:rPr>
      <w:rFonts w:hint="eastAsia" w:ascii="宋体" w:hAnsi="宋体" w:eastAsia="宋体" w:cs="宋体"/>
      <w:color w:val="000000"/>
      <w:sz w:val="24"/>
      <w:szCs w:val="24"/>
      <w:u w:val="none"/>
    </w:rPr>
  </w:style>
  <w:style w:type="character" w:customStyle="1" w:styleId="20">
    <w:name w:val="font01"/>
    <w:basedOn w:val="9"/>
    <w:qFormat/>
    <w:uiPriority w:val="0"/>
    <w:rPr>
      <w:rFonts w:hint="eastAsia" w:ascii="宋体" w:hAnsi="宋体" w:eastAsia="宋体" w:cs="宋体"/>
      <w:color w:val="000000"/>
      <w:sz w:val="24"/>
      <w:szCs w:val="24"/>
      <w:u w:val="none"/>
    </w:rPr>
  </w:style>
  <w:style w:type="character" w:customStyle="1" w:styleId="21">
    <w:name w:val="font101"/>
    <w:basedOn w:val="9"/>
    <w:qFormat/>
    <w:uiPriority w:val="0"/>
    <w:rPr>
      <w:rFonts w:hint="eastAsia" w:ascii="宋体" w:hAnsi="宋体" w:eastAsia="宋体" w:cs="宋体"/>
      <w:color w:val="403ED6"/>
      <w:sz w:val="24"/>
      <w:szCs w:val="24"/>
      <w:u w:val="none"/>
    </w:rPr>
  </w:style>
  <w:style w:type="character" w:customStyle="1" w:styleId="22">
    <w:name w:val="font51"/>
    <w:basedOn w:val="9"/>
    <w:qFormat/>
    <w:uiPriority w:val="0"/>
    <w:rPr>
      <w:rFonts w:hint="eastAsia" w:ascii="宋体" w:hAnsi="宋体" w:eastAsia="宋体" w:cs="宋体"/>
      <w:color w:val="000000"/>
      <w:sz w:val="24"/>
      <w:szCs w:val="24"/>
      <w:u w:val="none"/>
    </w:rPr>
  </w:style>
  <w:style w:type="character" w:customStyle="1" w:styleId="23">
    <w:name w:val="font31"/>
    <w:basedOn w:val="9"/>
    <w:qFormat/>
    <w:uiPriority w:val="0"/>
    <w:rPr>
      <w:rFonts w:hint="eastAsia" w:ascii="宋体" w:hAnsi="宋体" w:eastAsia="宋体" w:cs="宋体"/>
      <w:color w:val="000000"/>
      <w:sz w:val="24"/>
      <w:szCs w:val="24"/>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6</Pages>
  <Words>2120</Words>
  <Characters>2244</Characters>
  <Lines>12</Lines>
  <Paragraphs>3</Paragraphs>
  <TotalTime>1</TotalTime>
  <ScaleCrop>false</ScaleCrop>
  <LinksUpToDate>false</LinksUpToDate>
  <CharactersWithSpaces>2284</CharactersWithSpaces>
  <Application>WPS Office_11.8.2.10229_F1E327BC-269C-435d-A152-05C5408002CA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2022-06-06T06:47:00Z</dcterms:created>
  <dc:creator>Microsoft Office User</dc:creator>
  <cp:lastModifiedBy>肖瑶（Betty）</cp:lastModifiedBy>
  <cp:lastPrinted>2024-07-23T03:30:15Z</cp:lastPrinted>
  <dcterms:modified xsi:type="dcterms:W3CDTF">2024-07-23T03:30:35Z</dcterms:modified>
  <cp:revision>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2052-11.8.2.10229</vt:lpwstr>
  </property>
  <property fmtid="{D5CDD505-2E9C-101B-9397-08002B2CF9AE}" pid="3" name="ICV">
    <vt:lpwstr>C793567C95924F53BD02FBEAB498BAF1_12</vt:lpwstr>
  </property>
</Properties>
</file>