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90" w:lineRule="atLeast"/>
        <w:ind w:left="0" w:right="0"/>
        <w:jc w:val="left"/>
        <w:rPr>
          <w:rFonts w:hint="default" w:ascii="微软雅黑" w:hAnsi="微软雅黑" w:eastAsia="微软雅黑" w:cs="微软雅黑"/>
          <w:color w:val="3D4B64"/>
          <w:sz w:val="19"/>
          <w:szCs w:val="19"/>
          <w:lang w:val="en-US"/>
        </w:rPr>
      </w:pPr>
      <w:bookmarkStart w:id="0" w:name="_GoBack"/>
      <w:r>
        <w:rPr>
          <w:rStyle w:val="17"/>
          <w:rFonts w:hint="eastAsia" w:ascii="微软雅黑" w:hAnsi="微软雅黑" w:eastAsia="微软雅黑" w:cs="微软雅黑"/>
          <w:color w:val="3D4B64"/>
          <w:sz w:val="19"/>
          <w:szCs w:val="19"/>
          <w:shd w:val="clear" w:fill="FFFFFF"/>
          <w:lang w:val="en-US" w:eastAsia="zh-CN" w:bidi="ar"/>
        </w:rPr>
        <w:t>1、本项目采购进口产品，有符合条件的国产产品可以参与投标。 2、本项目为非电子化公开招标，招标文件售价：免费； 3、投标截止时间（开标时间）：2024年2月20日9：30时(北京时间)； 4、投标人在投标前应在必联网（http://www.ebnew.com）（或机电产品招标投标电子交易平台（http://www.chinabidding.com））及江西省公共资源交易网（http://jxsggzy.cn/web/）注册并办理江西省CA数字证书和电子签章完成注册及信息核验。评标结果将在必联网、中国国际招标网及江西省公共资源交易网公示。 5、项目概况：为医院发展需购置医疗设备。 6、资金到位或资金来源落实情况：项目所需资金已落实。 7、项目已具备招标条件的说明：项目已具备招标条件。 8、项目实施地点：江西省南昌市 9、汇款方式 户 名：江西省机电设备招标有限公司 开 户 行（人民币）：江西银行南昌红谷滩支行 账 号：79190720190600130739（1包）、79190720190600130747（2包）、79190720190600130754（3包）户 名：江西省机电设备招标有限公司 开户银行（外汇）：中行江西省分行 账　　号：191702305545（美元） 194702305543（欧元） 193202305549（日元）。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OWY5NzA2ZWRhMjVkMDIxNzM4ZTgzZjA1YjVjNmUifQ=="/>
  </w:docVars>
  <w:rsids>
    <w:rsidRoot w:val="00000000"/>
    <w:rsid w:val="000666E4"/>
    <w:rsid w:val="0EE6753E"/>
    <w:rsid w:val="143417CF"/>
    <w:rsid w:val="192F0555"/>
    <w:rsid w:val="264B3E72"/>
    <w:rsid w:val="2F842490"/>
    <w:rsid w:val="31B20B21"/>
    <w:rsid w:val="3B003F61"/>
    <w:rsid w:val="40A5012A"/>
    <w:rsid w:val="43840FB9"/>
    <w:rsid w:val="453D51D9"/>
    <w:rsid w:val="45CE37B9"/>
    <w:rsid w:val="50313E07"/>
    <w:rsid w:val="65290061"/>
    <w:rsid w:val="6D945D5D"/>
    <w:rsid w:val="724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rFonts w:ascii="微软雅黑" w:hAnsi="微软雅黑" w:eastAsia="微软雅黑" w:cs="微软雅黑"/>
      <w:b/>
      <w:bCs/>
      <w:color w:val="3D4B64"/>
      <w:sz w:val="19"/>
      <w:szCs w:val="19"/>
    </w:rPr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ascii="monospace" w:hAnsi="monospace" w:eastAsia="monospace" w:cs="monospace"/>
    </w:rPr>
  </w:style>
  <w:style w:type="character" w:customStyle="1" w:styleId="17">
    <w:name w:val="mini-outputtex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503</Characters>
  <Lines>0</Lines>
  <Paragraphs>0</Paragraphs>
  <TotalTime>0</TotalTime>
  <ScaleCrop>false</ScaleCrop>
  <LinksUpToDate>false</LinksUpToDate>
  <CharactersWithSpaces>526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2021-09-26T02:54:00Z</dcterms:created>
  <dc:creator>admin</dc:creator>
  <cp:lastModifiedBy>NTKO</cp:lastModifiedBy>
  <dcterms:modified xsi:type="dcterms:W3CDTF">2024-01-23T08:29:41Z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F020188803CB456EB593A093CF7DB0B7</vt:lpwstr>
  </property>
</Properties>
</file>