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华文楷体"/>
          <w:sz w:val="26"/>
          <w:szCs w:val="48"/>
        </w:rPr>
      </w:pPr>
    </w:p>
    <w:p>
      <w:pPr>
        <w:jc w:val="center"/>
        <w:rPr>
          <w:rFonts w:eastAsia="华文楷体"/>
          <w:sz w:val="26"/>
          <w:szCs w:val="48"/>
        </w:rPr>
      </w:pPr>
    </w:p>
    <w:p>
      <w:pPr>
        <w:rPr>
          <w:rFonts w:eastAsia="华文楷体"/>
          <w:sz w:val="26"/>
          <w:szCs w:val="48"/>
        </w:rPr>
      </w:pPr>
    </w:p>
    <w:p>
      <w:pPr>
        <w:jc w:val="center"/>
        <w:rPr>
          <w:sz w:val="26"/>
          <w:szCs w:val="48"/>
        </w:rPr>
      </w:pPr>
    </w:p>
    <w:p>
      <w:pPr>
        <w:jc w:val="center"/>
        <w:rPr>
          <w:b/>
          <w:bCs/>
          <w:spacing w:val="8"/>
          <w:w w:val="90"/>
          <w:sz w:val="71"/>
          <w:szCs w:val="71"/>
        </w:rPr>
      </w:pPr>
      <w:r>
        <w:rPr>
          <w:b/>
          <w:bCs/>
          <w:spacing w:val="4"/>
          <w:w w:val="90"/>
          <w:sz w:val="71"/>
          <w:szCs w:val="71"/>
        </w:rPr>
        <w:t>机电产品</w:t>
      </w:r>
      <w:r>
        <w:rPr>
          <w:b/>
          <w:bCs/>
          <w:spacing w:val="8"/>
          <w:w w:val="90"/>
          <w:sz w:val="71"/>
          <w:szCs w:val="71"/>
        </w:rPr>
        <w:t>国际招标</w:t>
      </w:r>
    </w:p>
    <w:p>
      <w:pPr>
        <w:spacing w:before="160"/>
        <w:jc w:val="center"/>
        <w:rPr>
          <w:spacing w:val="8"/>
          <w:w w:val="90"/>
          <w:sz w:val="71"/>
          <w:szCs w:val="71"/>
        </w:rPr>
      </w:pPr>
    </w:p>
    <w:p>
      <w:pPr>
        <w:spacing w:before="160"/>
        <w:jc w:val="center"/>
        <w:rPr>
          <w:sz w:val="71"/>
          <w:szCs w:val="71"/>
        </w:rPr>
      </w:pPr>
      <w:r>
        <w:rPr>
          <w:spacing w:val="8"/>
          <w:w w:val="90"/>
          <w:sz w:val="71"/>
          <w:szCs w:val="71"/>
        </w:rPr>
        <w:t>招标文</w:t>
      </w:r>
      <w:r>
        <w:rPr>
          <w:w w:val="90"/>
          <w:sz w:val="71"/>
          <w:szCs w:val="71"/>
        </w:rPr>
        <w:t>件</w:t>
      </w:r>
    </w:p>
    <w:p>
      <w:pPr>
        <w:spacing w:before="240"/>
        <w:jc w:val="center"/>
        <w:rPr>
          <w:sz w:val="56"/>
          <w:szCs w:val="48"/>
        </w:rPr>
      </w:pPr>
    </w:p>
    <w:p>
      <w:pPr>
        <w:spacing w:before="240"/>
        <w:jc w:val="center"/>
        <w:rPr>
          <w:b/>
          <w:bCs/>
          <w:sz w:val="56"/>
          <w:szCs w:val="48"/>
        </w:rPr>
      </w:pPr>
      <w:r>
        <w:rPr>
          <w:b/>
          <w:bCs/>
          <w:sz w:val="56"/>
          <w:szCs w:val="48"/>
        </w:rPr>
        <w:t>（第二册）</w:t>
      </w:r>
    </w:p>
    <w:p>
      <w:pPr>
        <w:spacing w:before="240"/>
        <w:rPr>
          <w:sz w:val="56"/>
          <w:szCs w:val="48"/>
        </w:rPr>
      </w:pPr>
    </w:p>
    <w:p>
      <w:pPr>
        <w:spacing w:before="240"/>
        <w:jc w:val="center"/>
        <w:rPr>
          <w:sz w:val="28"/>
          <w:szCs w:val="22"/>
        </w:rPr>
      </w:pPr>
    </w:p>
    <w:p>
      <w:pPr>
        <w:spacing w:before="240"/>
        <w:ind w:left="6" w:hanging="6"/>
        <w:rPr>
          <w:b/>
          <w:sz w:val="36"/>
          <w:szCs w:val="36"/>
        </w:rPr>
      </w:pPr>
      <w:r>
        <w:rPr>
          <w:b/>
          <w:sz w:val="36"/>
          <w:szCs w:val="36"/>
        </w:rPr>
        <w:t>项目名称：</w:t>
      </w:r>
      <w:r>
        <w:rPr>
          <w:rFonts w:hint="eastAsia"/>
          <w:b/>
          <w:spacing w:val="-11"/>
          <w:sz w:val="36"/>
          <w:szCs w:val="36"/>
        </w:rPr>
        <w:t>2023年骨伤医学中心设备购置项目（二次招标）</w:t>
      </w:r>
    </w:p>
    <w:p>
      <w:pPr>
        <w:ind w:left="6" w:firstLine="835" w:firstLineChars="231"/>
        <w:jc w:val="right"/>
        <w:rPr>
          <w:b/>
          <w:sz w:val="36"/>
          <w:szCs w:val="36"/>
        </w:rPr>
      </w:pPr>
    </w:p>
    <w:p>
      <w:pPr>
        <w:spacing w:before="240"/>
        <w:ind w:left="6" w:hanging="6"/>
        <w:jc w:val="center"/>
        <w:rPr>
          <w:sz w:val="26"/>
          <w:szCs w:val="48"/>
        </w:rPr>
      </w:pPr>
      <w:r>
        <w:rPr>
          <w:b/>
          <w:sz w:val="36"/>
          <w:szCs w:val="36"/>
        </w:rPr>
        <w:t>招标编号：</w:t>
      </w:r>
      <w:r>
        <w:rPr>
          <w:rFonts w:hint="eastAsia"/>
          <w:b/>
          <w:sz w:val="36"/>
          <w:szCs w:val="36"/>
        </w:rPr>
        <w:t>1934-234GK2023020</w:t>
      </w:r>
    </w:p>
    <w:p>
      <w:pPr>
        <w:spacing w:before="240"/>
        <w:jc w:val="center"/>
        <w:rPr>
          <w:sz w:val="26"/>
          <w:szCs w:val="48"/>
        </w:rPr>
      </w:pPr>
    </w:p>
    <w:p>
      <w:pPr>
        <w:jc w:val="center"/>
        <w:rPr>
          <w:sz w:val="30"/>
          <w:szCs w:val="30"/>
        </w:rPr>
      </w:pPr>
    </w:p>
    <w:p>
      <w:pPr>
        <w:jc w:val="center"/>
        <w:rPr>
          <w:sz w:val="30"/>
          <w:szCs w:val="30"/>
        </w:rPr>
      </w:pPr>
    </w:p>
    <w:p>
      <w:pPr>
        <w:jc w:val="center"/>
        <w:rPr>
          <w:sz w:val="30"/>
          <w:szCs w:val="30"/>
        </w:rPr>
      </w:pPr>
    </w:p>
    <w:p>
      <w:pPr>
        <w:jc w:val="center"/>
        <w:rPr>
          <w:sz w:val="30"/>
          <w:szCs w:val="30"/>
        </w:rPr>
      </w:pPr>
    </w:p>
    <w:p>
      <w:pPr>
        <w:jc w:val="center"/>
        <w:rPr>
          <w:sz w:val="30"/>
          <w:szCs w:val="30"/>
        </w:rPr>
      </w:pPr>
    </w:p>
    <w:p>
      <w:pPr>
        <w:jc w:val="center"/>
        <w:rPr>
          <w:sz w:val="30"/>
          <w:szCs w:val="30"/>
        </w:rPr>
      </w:pPr>
      <w:r>
        <w:rPr>
          <w:sz w:val="30"/>
          <w:szCs w:val="30"/>
        </w:rPr>
        <w:t>海南政坤招标代理有限公司  编</w:t>
      </w:r>
    </w:p>
    <w:p>
      <w:pPr>
        <w:spacing w:line="360" w:lineRule="auto"/>
        <w:rPr>
          <w:sz w:val="30"/>
          <w:szCs w:val="30"/>
        </w:rPr>
      </w:pPr>
    </w:p>
    <w:p>
      <w:pPr>
        <w:jc w:val="center"/>
        <w:rPr>
          <w:sz w:val="30"/>
          <w:szCs w:val="30"/>
        </w:rPr>
      </w:pPr>
      <w:r>
        <w:rPr>
          <w:rFonts w:hint="eastAsia"/>
          <w:sz w:val="30"/>
          <w:szCs w:val="30"/>
          <w:lang w:val="en-US" w:eastAsia="zh-CN"/>
        </w:rPr>
        <w:t>2024</w:t>
      </w:r>
      <w:r>
        <w:rPr>
          <w:rFonts w:hint="eastAsia"/>
          <w:sz w:val="30"/>
          <w:szCs w:val="30"/>
        </w:rPr>
        <w:t>年</w:t>
      </w:r>
      <w:r>
        <w:rPr>
          <w:rFonts w:hint="eastAsia"/>
          <w:sz w:val="30"/>
          <w:szCs w:val="30"/>
          <w:lang w:val="en-US" w:eastAsia="zh-CN"/>
        </w:rPr>
        <w:t>04</w:t>
      </w:r>
      <w:r>
        <w:rPr>
          <w:rFonts w:hint="eastAsia"/>
          <w:sz w:val="30"/>
          <w:szCs w:val="30"/>
        </w:rPr>
        <w:t>月</w:t>
      </w:r>
      <w:r>
        <w:rPr>
          <w:sz w:val="30"/>
          <w:szCs w:val="30"/>
        </w:rPr>
        <w:t>编制</w:t>
      </w:r>
    </w:p>
    <w:p>
      <w:pPr>
        <w:spacing w:line="360" w:lineRule="auto"/>
        <w:jc w:val="center"/>
        <w:rPr>
          <w:b/>
          <w:sz w:val="48"/>
        </w:rPr>
        <w:sectPr>
          <w:headerReference r:id="rId3" w:type="default"/>
          <w:footerReference r:id="rId4" w:type="default"/>
          <w:pgSz w:w="11906" w:h="16838"/>
          <w:pgMar w:top="1418" w:right="1418" w:bottom="1134" w:left="1701" w:header="851" w:footer="567" w:gutter="0"/>
          <w:pgNumType w:start="1"/>
          <w:cols w:space="720" w:num="1"/>
          <w:docGrid w:linePitch="312" w:charSpace="0"/>
        </w:sectPr>
      </w:pPr>
    </w:p>
    <w:p>
      <w:pPr>
        <w:spacing w:line="360" w:lineRule="auto"/>
        <w:jc w:val="center"/>
        <w:rPr>
          <w:b/>
          <w:sz w:val="48"/>
        </w:rPr>
      </w:pPr>
    </w:p>
    <w:p>
      <w:pPr>
        <w:jc w:val="center"/>
        <w:rPr>
          <w:b/>
          <w:sz w:val="48"/>
        </w:rPr>
      </w:pPr>
      <w:r>
        <w:rPr>
          <w:b/>
          <w:sz w:val="48"/>
        </w:rPr>
        <w:t>目  录</w:t>
      </w:r>
    </w:p>
    <w:p>
      <w:pPr>
        <w:rPr>
          <w:b/>
          <w:sz w:val="30"/>
        </w:rPr>
      </w:pPr>
    </w:p>
    <w:p>
      <w:pPr>
        <w:snapToGrid w:val="0"/>
        <w:spacing w:line="480" w:lineRule="auto"/>
        <w:ind w:left="850" w:firstLine="425"/>
        <w:rPr>
          <w:b/>
          <w:sz w:val="28"/>
        </w:rPr>
      </w:pPr>
    </w:p>
    <w:p>
      <w:pPr>
        <w:snapToGrid w:val="0"/>
        <w:spacing w:line="480" w:lineRule="auto"/>
        <w:ind w:left="850" w:firstLine="425"/>
        <w:rPr>
          <w:b/>
          <w:sz w:val="28"/>
        </w:rPr>
      </w:pPr>
      <w:r>
        <w:rPr>
          <w:b/>
          <w:sz w:val="28"/>
        </w:rPr>
        <w:t xml:space="preserve">第一册 </w:t>
      </w:r>
      <w:r>
        <w:rPr>
          <w:b/>
          <w:sz w:val="28"/>
        </w:rPr>
        <w:tab/>
      </w:r>
      <w:r>
        <w:rPr>
          <w:b/>
          <w:sz w:val="28"/>
        </w:rPr>
        <w:t>（商务部规范文本）</w:t>
      </w:r>
    </w:p>
    <w:p>
      <w:pPr>
        <w:numPr>
          <w:ilvl w:val="0"/>
          <w:numId w:val="1"/>
        </w:numPr>
        <w:snapToGrid w:val="0"/>
        <w:spacing w:line="480" w:lineRule="auto"/>
        <w:rPr>
          <w:sz w:val="28"/>
        </w:rPr>
      </w:pPr>
      <w:r>
        <w:rPr>
          <w:sz w:val="28"/>
        </w:rPr>
        <w:t>投标人须知</w:t>
      </w:r>
    </w:p>
    <w:p>
      <w:pPr>
        <w:numPr>
          <w:ilvl w:val="0"/>
          <w:numId w:val="1"/>
        </w:numPr>
        <w:snapToGrid w:val="0"/>
        <w:spacing w:line="480" w:lineRule="auto"/>
        <w:rPr>
          <w:sz w:val="28"/>
        </w:rPr>
      </w:pPr>
      <w:r>
        <w:rPr>
          <w:rFonts w:eastAsia="经典粗黑简"/>
          <w:sz w:val="28"/>
          <w:szCs w:val="28"/>
        </w:rPr>
        <w:t>合同通用条款</w:t>
      </w:r>
    </w:p>
    <w:p>
      <w:pPr>
        <w:numPr>
          <w:ilvl w:val="0"/>
          <w:numId w:val="1"/>
        </w:numPr>
        <w:snapToGrid w:val="0"/>
        <w:spacing w:line="480" w:lineRule="auto"/>
        <w:rPr>
          <w:sz w:val="28"/>
        </w:rPr>
      </w:pPr>
      <w:r>
        <w:rPr>
          <w:sz w:val="28"/>
        </w:rPr>
        <w:t>合同格式</w:t>
      </w:r>
    </w:p>
    <w:p>
      <w:pPr>
        <w:numPr>
          <w:ilvl w:val="0"/>
          <w:numId w:val="1"/>
        </w:numPr>
        <w:snapToGrid w:val="0"/>
        <w:spacing w:line="480" w:lineRule="auto"/>
        <w:rPr>
          <w:sz w:val="28"/>
        </w:rPr>
      </w:pPr>
      <w:r>
        <w:rPr>
          <w:rFonts w:eastAsia="经典粗黑简"/>
          <w:sz w:val="28"/>
          <w:szCs w:val="28"/>
        </w:rPr>
        <w:t>投标文件格式</w:t>
      </w:r>
    </w:p>
    <w:p>
      <w:pPr>
        <w:autoSpaceDE w:val="0"/>
        <w:autoSpaceDN w:val="0"/>
        <w:adjustRightInd w:val="0"/>
        <w:spacing w:line="964" w:lineRule="exact"/>
        <w:jc w:val="left"/>
        <w:rPr>
          <w:b/>
          <w:sz w:val="28"/>
        </w:rPr>
      </w:pPr>
      <w:r>
        <w:rPr>
          <w:b/>
          <w:sz w:val="28"/>
        </w:rPr>
        <w:t>具体内容详见中华人民共和国商务部对外贸易司编《机电产品国际招标标准招标文件》2014年版</w:t>
      </w:r>
    </w:p>
    <w:p>
      <w:pPr>
        <w:rPr>
          <w:b/>
          <w:sz w:val="28"/>
        </w:rPr>
      </w:pPr>
    </w:p>
    <w:p>
      <w:pPr>
        <w:snapToGrid w:val="0"/>
        <w:spacing w:line="480" w:lineRule="auto"/>
        <w:ind w:left="850" w:firstLine="425"/>
        <w:rPr>
          <w:b/>
          <w:sz w:val="28"/>
        </w:rPr>
      </w:pPr>
    </w:p>
    <w:p>
      <w:pPr>
        <w:snapToGrid w:val="0"/>
        <w:spacing w:line="480" w:lineRule="auto"/>
        <w:ind w:left="850" w:firstLine="425"/>
        <w:rPr>
          <w:b/>
          <w:sz w:val="28"/>
        </w:rPr>
      </w:pPr>
      <w:r>
        <w:rPr>
          <w:b/>
          <w:sz w:val="28"/>
        </w:rPr>
        <w:t>第二册  （本项目特殊要求及技术、商务条款）</w:t>
      </w:r>
    </w:p>
    <w:p>
      <w:pPr>
        <w:numPr>
          <w:ilvl w:val="0"/>
          <w:numId w:val="1"/>
        </w:numPr>
        <w:snapToGrid w:val="0"/>
        <w:spacing w:line="480" w:lineRule="auto"/>
        <w:rPr>
          <w:sz w:val="28"/>
        </w:rPr>
      </w:pPr>
      <w:r>
        <w:rPr>
          <w:sz w:val="28"/>
        </w:rPr>
        <w:t>投标邀请</w:t>
      </w:r>
    </w:p>
    <w:p>
      <w:pPr>
        <w:numPr>
          <w:ilvl w:val="0"/>
          <w:numId w:val="1"/>
        </w:numPr>
        <w:snapToGrid w:val="0"/>
        <w:spacing w:line="480" w:lineRule="auto"/>
        <w:rPr>
          <w:sz w:val="28"/>
        </w:rPr>
      </w:pPr>
      <w:r>
        <w:rPr>
          <w:sz w:val="28"/>
        </w:rPr>
        <w:t>投标资料表</w:t>
      </w:r>
    </w:p>
    <w:p>
      <w:pPr>
        <w:numPr>
          <w:ilvl w:val="0"/>
          <w:numId w:val="1"/>
        </w:numPr>
        <w:snapToGrid w:val="0"/>
        <w:spacing w:line="480" w:lineRule="auto"/>
        <w:rPr>
          <w:sz w:val="28"/>
        </w:rPr>
      </w:pPr>
      <w:r>
        <w:rPr>
          <w:sz w:val="28"/>
        </w:rPr>
        <w:t>合同专用条款</w:t>
      </w:r>
    </w:p>
    <w:p>
      <w:pPr>
        <w:numPr>
          <w:ilvl w:val="0"/>
          <w:numId w:val="1"/>
        </w:numPr>
        <w:snapToGrid w:val="0"/>
        <w:spacing w:line="480" w:lineRule="auto"/>
        <w:rPr>
          <w:sz w:val="28"/>
        </w:rPr>
      </w:pPr>
      <w:r>
        <w:rPr>
          <w:sz w:val="28"/>
        </w:rPr>
        <w:t>货物需求一览表及技术规格</w:t>
      </w:r>
    </w:p>
    <w:p>
      <w:pPr>
        <w:snapToGrid w:val="0"/>
        <w:spacing w:line="480" w:lineRule="auto"/>
        <w:ind w:left="1275"/>
        <w:rPr>
          <w:sz w:val="28"/>
        </w:rPr>
        <w:sectPr>
          <w:footerReference r:id="rId5" w:type="default"/>
          <w:pgSz w:w="11906" w:h="16838"/>
          <w:pgMar w:top="1418" w:right="1418" w:bottom="1134" w:left="1701" w:header="851" w:footer="567" w:gutter="0"/>
          <w:pgNumType w:start="1"/>
          <w:cols w:space="720" w:num="1"/>
          <w:docGrid w:linePitch="312" w:charSpace="0"/>
        </w:sectPr>
      </w:pPr>
    </w:p>
    <w:p>
      <w:pPr>
        <w:pageBreakBefore/>
        <w:spacing w:line="560" w:lineRule="exact"/>
        <w:jc w:val="center"/>
        <w:rPr>
          <w:rFonts w:eastAsia="方正楷体简体"/>
          <w:b/>
          <w:bCs/>
          <w:sz w:val="36"/>
          <w:szCs w:val="36"/>
        </w:rPr>
      </w:pPr>
      <w:r>
        <w:rPr>
          <w:rFonts w:eastAsia="方正楷体简体"/>
          <w:b/>
          <w:bCs/>
          <w:sz w:val="36"/>
          <w:szCs w:val="36"/>
        </w:rPr>
        <w:t>第五章 投 标 邀 请</w:t>
      </w:r>
    </w:p>
    <w:p>
      <w:pPr>
        <w:adjustRightInd w:val="0"/>
        <w:snapToGrid w:val="0"/>
        <w:rPr>
          <w:sz w:val="24"/>
        </w:rPr>
      </w:pPr>
    </w:p>
    <w:p>
      <w:pPr>
        <w:spacing w:line="500" w:lineRule="exact"/>
        <w:rPr>
          <w:sz w:val="24"/>
          <w:szCs w:val="24"/>
        </w:rPr>
      </w:pPr>
      <w:r>
        <w:rPr>
          <w:sz w:val="24"/>
          <w:szCs w:val="24"/>
        </w:rPr>
        <w:t>日期：</w:t>
      </w:r>
      <w:r>
        <w:rPr>
          <w:rFonts w:hint="eastAsia"/>
          <w:sz w:val="24"/>
          <w:szCs w:val="24"/>
        </w:rPr>
        <w:t>202</w:t>
      </w:r>
      <w:r>
        <w:rPr>
          <w:rFonts w:hint="eastAsia"/>
          <w:sz w:val="24"/>
          <w:szCs w:val="24"/>
          <w:lang w:val="en-US" w:eastAsia="zh-CN"/>
        </w:rPr>
        <w:t>4</w:t>
      </w:r>
      <w:r>
        <w:rPr>
          <w:rFonts w:hint="eastAsia"/>
          <w:sz w:val="24"/>
          <w:szCs w:val="24"/>
        </w:rPr>
        <w:t>年</w:t>
      </w:r>
      <w:r>
        <w:rPr>
          <w:rFonts w:hint="eastAsia"/>
          <w:sz w:val="24"/>
          <w:szCs w:val="24"/>
          <w:lang w:val="en-US" w:eastAsia="zh-CN"/>
        </w:rPr>
        <w:t>04</w:t>
      </w:r>
      <w:r>
        <w:rPr>
          <w:rFonts w:hint="eastAsia"/>
          <w:sz w:val="24"/>
          <w:szCs w:val="24"/>
        </w:rPr>
        <w:t>月</w:t>
      </w:r>
    </w:p>
    <w:p>
      <w:pPr>
        <w:spacing w:line="500" w:lineRule="exact"/>
        <w:ind w:left="1188" w:right="-420" w:rightChars="-200" w:hanging="1188" w:hangingChars="495"/>
        <w:rPr>
          <w:sz w:val="24"/>
          <w:szCs w:val="24"/>
        </w:rPr>
      </w:pPr>
      <w:r>
        <w:rPr>
          <w:sz w:val="24"/>
          <w:szCs w:val="24"/>
        </w:rPr>
        <w:t>项目名称：</w:t>
      </w:r>
      <w:r>
        <w:rPr>
          <w:rFonts w:hint="eastAsia"/>
          <w:sz w:val="24"/>
          <w:szCs w:val="24"/>
        </w:rPr>
        <w:t>2023年骨伤医学中心设备购置项目（二次招标）</w:t>
      </w:r>
    </w:p>
    <w:p>
      <w:pPr>
        <w:spacing w:line="500" w:lineRule="exact"/>
        <w:rPr>
          <w:sz w:val="24"/>
          <w:szCs w:val="24"/>
        </w:rPr>
      </w:pPr>
      <w:r>
        <w:rPr>
          <w:sz w:val="24"/>
          <w:szCs w:val="24"/>
        </w:rPr>
        <w:t>项目编号：</w:t>
      </w:r>
      <w:r>
        <w:rPr>
          <w:rFonts w:hint="eastAsia"/>
          <w:sz w:val="24"/>
          <w:szCs w:val="24"/>
        </w:rPr>
        <w:t>1934-234GK2023020</w:t>
      </w:r>
    </w:p>
    <w:p>
      <w:pPr>
        <w:spacing w:line="500" w:lineRule="exact"/>
        <w:ind w:firstLine="480" w:firstLineChars="200"/>
        <w:rPr>
          <w:sz w:val="24"/>
          <w:szCs w:val="24"/>
        </w:rPr>
      </w:pPr>
      <w:r>
        <w:rPr>
          <w:sz w:val="24"/>
          <w:szCs w:val="24"/>
          <w:u w:val="single"/>
        </w:rPr>
        <w:t>海南政坤招标代理有限公</w:t>
      </w:r>
      <w:r>
        <w:rPr>
          <w:sz w:val="24"/>
          <w:szCs w:val="24"/>
          <w:highlight w:val="none"/>
          <w:u w:val="single"/>
        </w:rPr>
        <w:t>司</w:t>
      </w:r>
      <w:r>
        <w:rPr>
          <w:sz w:val="24"/>
          <w:szCs w:val="24"/>
          <w:highlight w:val="none"/>
        </w:rPr>
        <w:t>接受</w:t>
      </w:r>
      <w:r>
        <w:rPr>
          <w:rFonts w:hint="eastAsia"/>
          <w:sz w:val="24"/>
          <w:szCs w:val="24"/>
          <w:highlight w:val="none"/>
          <w:u w:val="single"/>
          <w:lang w:eastAsia="zh-CN"/>
        </w:rPr>
        <w:t>广东省中医院海南医院（海南省中医院）</w:t>
      </w:r>
      <w:r>
        <w:rPr>
          <w:sz w:val="24"/>
          <w:szCs w:val="24"/>
          <w:highlight w:val="none"/>
        </w:rPr>
        <w:t>的委托，</w:t>
      </w:r>
      <w:r>
        <w:rPr>
          <w:sz w:val="24"/>
          <w:szCs w:val="24"/>
        </w:rPr>
        <w:t>对下列产品及服务进行国际公开招标。现邀请合格投标人参加投标。</w:t>
      </w:r>
    </w:p>
    <w:p>
      <w:pPr>
        <w:adjustRightInd w:val="0"/>
        <w:snapToGrid w:val="0"/>
        <w:spacing w:line="500" w:lineRule="exact"/>
        <w:rPr>
          <w:sz w:val="24"/>
        </w:rPr>
      </w:pPr>
      <w:r>
        <w:rPr>
          <w:sz w:val="24"/>
        </w:rPr>
        <w:t>1、招标条件</w:t>
      </w:r>
    </w:p>
    <w:p>
      <w:pPr>
        <w:spacing w:line="500" w:lineRule="exact"/>
        <w:rPr>
          <w:sz w:val="24"/>
          <w:szCs w:val="24"/>
        </w:rPr>
      </w:pPr>
      <w:r>
        <w:rPr>
          <w:sz w:val="24"/>
          <w:szCs w:val="24"/>
        </w:rPr>
        <w:t>1.1 资金到位或资金来源落实情况：已落实</w:t>
      </w:r>
    </w:p>
    <w:p>
      <w:pPr>
        <w:spacing w:line="500" w:lineRule="exact"/>
        <w:rPr>
          <w:sz w:val="24"/>
          <w:szCs w:val="24"/>
        </w:rPr>
      </w:pPr>
      <w:r>
        <w:rPr>
          <w:sz w:val="24"/>
          <w:szCs w:val="24"/>
        </w:rPr>
        <w:t>1.2 项目已具备招标条件的说明：已具备</w:t>
      </w:r>
    </w:p>
    <w:p>
      <w:pPr>
        <w:adjustRightInd w:val="0"/>
        <w:snapToGrid w:val="0"/>
        <w:spacing w:line="500" w:lineRule="exact"/>
        <w:rPr>
          <w:sz w:val="24"/>
        </w:rPr>
      </w:pPr>
      <w:r>
        <w:rPr>
          <w:sz w:val="24"/>
        </w:rPr>
        <w:t>2、招标产品名称、数量及主要技术参数：</w:t>
      </w:r>
    </w:p>
    <w:tbl>
      <w:tblPr>
        <w:tblStyle w:val="19"/>
        <w:tblW w:w="534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4"/>
        <w:gridCol w:w="2691"/>
        <w:gridCol w:w="920"/>
        <w:gridCol w:w="839"/>
        <w:gridCol w:w="1336"/>
        <w:gridCol w:w="934"/>
        <w:gridCol w:w="883"/>
        <w:gridCol w:w="14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3"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序号</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设备名称</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单位</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数量</w:t>
            </w:r>
          </w:p>
        </w:tc>
        <w:tc>
          <w:tcPr>
            <w:tcW w:w="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预算单价（万元）</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进口/国产</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质保年限</w:t>
            </w: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总预算金额（万元）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4K高清关节镜系统</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套</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208</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进口</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7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2</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骨科手术显微镜</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套</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220</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进口</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val="en-US" w:eastAsia="zh-CN"/>
              </w:rPr>
            </w:pPr>
            <w:r>
              <w:rPr>
                <w:rFonts w:hint="eastAsia" w:ascii="宋体" w:hAnsi="宋体" w:cs="宋体"/>
                <w:i w:val="0"/>
                <w:iCs w:val="0"/>
                <w:color w:val="000000"/>
                <w:sz w:val="28"/>
                <w:szCs w:val="28"/>
                <w:u w:val="none"/>
                <w:lang w:val="en-US" w:eastAsia="zh-CN"/>
              </w:rPr>
              <w:t>3</w:t>
            </w:r>
          </w:p>
        </w:tc>
        <w:tc>
          <w:tcPr>
            <w:tcW w:w="7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8"/>
                <w:szCs w:val="28"/>
                <w:u w:val="none"/>
              </w:rPr>
            </w:pPr>
          </w:p>
        </w:tc>
      </w:tr>
    </w:tbl>
    <w:p>
      <w:pPr>
        <w:adjustRightInd w:val="0"/>
        <w:snapToGrid w:val="0"/>
        <w:spacing w:line="500" w:lineRule="exact"/>
        <w:rPr>
          <w:sz w:val="24"/>
          <w:highlight w:val="none"/>
        </w:rPr>
      </w:pPr>
      <w:r>
        <w:rPr>
          <w:sz w:val="24"/>
        </w:rPr>
        <w:t>3、招标文件获取：</w:t>
      </w:r>
    </w:p>
    <w:p>
      <w:pPr>
        <w:adjustRightInd w:val="0"/>
        <w:snapToGrid w:val="0"/>
        <w:spacing w:line="500" w:lineRule="exact"/>
        <w:rPr>
          <w:bCs/>
          <w:sz w:val="24"/>
          <w:highlight w:val="none"/>
        </w:rPr>
      </w:pPr>
      <w:r>
        <w:rPr>
          <w:sz w:val="24"/>
          <w:highlight w:val="none"/>
        </w:rPr>
        <w:t>3.1 招标文件售卖时间：</w:t>
      </w:r>
      <w:r>
        <w:rPr>
          <w:rFonts w:hint="eastAsia"/>
          <w:sz w:val="24"/>
          <w:highlight w:val="none"/>
        </w:rPr>
        <w:t>202</w:t>
      </w:r>
      <w:r>
        <w:rPr>
          <w:rFonts w:hint="eastAsia"/>
          <w:sz w:val="24"/>
          <w:highlight w:val="none"/>
          <w:lang w:val="en-US" w:eastAsia="zh-CN"/>
        </w:rPr>
        <w:t>4</w:t>
      </w:r>
      <w:r>
        <w:rPr>
          <w:rFonts w:hint="eastAsia"/>
          <w:sz w:val="24"/>
          <w:highlight w:val="none"/>
        </w:rPr>
        <w:t>年</w:t>
      </w:r>
      <w:r>
        <w:rPr>
          <w:rFonts w:hint="eastAsia"/>
          <w:sz w:val="24"/>
          <w:highlight w:val="none"/>
          <w:lang w:val="en-US" w:eastAsia="zh-CN"/>
        </w:rPr>
        <w:t>04</w:t>
      </w:r>
      <w:r>
        <w:rPr>
          <w:rFonts w:hint="eastAsia"/>
          <w:sz w:val="24"/>
          <w:highlight w:val="none"/>
        </w:rPr>
        <w:t>月</w:t>
      </w:r>
      <w:r>
        <w:rPr>
          <w:rFonts w:hint="eastAsia"/>
          <w:sz w:val="24"/>
          <w:highlight w:val="none"/>
          <w:lang w:val="en-US" w:eastAsia="zh-CN"/>
        </w:rPr>
        <w:t>24</w:t>
      </w:r>
      <w:r>
        <w:rPr>
          <w:sz w:val="24"/>
          <w:highlight w:val="none"/>
        </w:rPr>
        <w:t>日起至202</w:t>
      </w:r>
      <w:r>
        <w:rPr>
          <w:rFonts w:hint="eastAsia"/>
          <w:sz w:val="24"/>
          <w:highlight w:val="none"/>
          <w:lang w:val="en-US" w:eastAsia="zh-CN"/>
        </w:rPr>
        <w:t>4</w:t>
      </w:r>
      <w:r>
        <w:rPr>
          <w:sz w:val="24"/>
          <w:highlight w:val="none"/>
        </w:rPr>
        <w:t>年</w:t>
      </w:r>
      <w:r>
        <w:rPr>
          <w:rFonts w:hint="eastAsia"/>
          <w:sz w:val="24"/>
          <w:highlight w:val="none"/>
          <w:lang w:val="en-US" w:eastAsia="zh-CN"/>
        </w:rPr>
        <w:t>04</w:t>
      </w:r>
      <w:r>
        <w:rPr>
          <w:sz w:val="24"/>
          <w:highlight w:val="none"/>
        </w:rPr>
        <w:t>月</w:t>
      </w:r>
      <w:r>
        <w:rPr>
          <w:rFonts w:hint="eastAsia"/>
          <w:sz w:val="24"/>
          <w:highlight w:val="none"/>
          <w:lang w:val="en-US" w:eastAsia="zh-CN"/>
        </w:rPr>
        <w:t>30</w:t>
      </w:r>
      <w:r>
        <w:rPr>
          <w:sz w:val="24"/>
          <w:highlight w:val="none"/>
        </w:rPr>
        <w:t>日，每天上午9：30-11：30，下午2：30-5：00</w:t>
      </w:r>
      <w:r>
        <w:rPr>
          <w:bCs/>
          <w:sz w:val="24"/>
          <w:highlight w:val="none"/>
        </w:rPr>
        <w:t>（北京时间，节假日除外）。</w:t>
      </w:r>
    </w:p>
    <w:p>
      <w:pPr>
        <w:adjustRightInd w:val="0"/>
        <w:snapToGrid w:val="0"/>
        <w:spacing w:line="500" w:lineRule="exact"/>
        <w:rPr>
          <w:sz w:val="24"/>
          <w:highlight w:val="none"/>
        </w:rPr>
      </w:pPr>
      <w:r>
        <w:rPr>
          <w:bCs/>
          <w:sz w:val="24"/>
          <w:highlight w:val="none"/>
        </w:rPr>
        <w:t xml:space="preserve">3.2 </w:t>
      </w:r>
      <w:r>
        <w:rPr>
          <w:sz w:val="24"/>
          <w:highlight w:val="none"/>
        </w:rPr>
        <w:t>招标文件领购地点：海南政坤招标代理有限公司（</w:t>
      </w:r>
      <w:r>
        <w:rPr>
          <w:rFonts w:hint="eastAsia"/>
          <w:sz w:val="24"/>
          <w:highlight w:val="none"/>
        </w:rPr>
        <w:t>海口市美兰区蓝天路名门广场北区A座1905室</w:t>
      </w:r>
      <w:r>
        <w:rPr>
          <w:sz w:val="24"/>
          <w:highlight w:val="none"/>
        </w:rPr>
        <w:t>）</w:t>
      </w:r>
      <w:r>
        <w:rPr>
          <w:bCs/>
          <w:sz w:val="24"/>
          <w:highlight w:val="none"/>
        </w:rPr>
        <w:t>。</w:t>
      </w:r>
    </w:p>
    <w:p>
      <w:pPr>
        <w:adjustRightInd w:val="0"/>
        <w:snapToGrid w:val="0"/>
        <w:spacing w:line="500" w:lineRule="exact"/>
        <w:rPr>
          <w:sz w:val="24"/>
        </w:rPr>
      </w:pPr>
      <w:r>
        <w:rPr>
          <w:sz w:val="24"/>
        </w:rPr>
        <w:t>3.3 招标文件售价：500元人民币或</w:t>
      </w:r>
      <w:r>
        <w:rPr>
          <w:rFonts w:hint="eastAsia"/>
          <w:sz w:val="24"/>
        </w:rPr>
        <w:t>75</w:t>
      </w:r>
      <w:r>
        <w:rPr>
          <w:sz w:val="24"/>
        </w:rPr>
        <w:t>美元/每包；售后不退。</w:t>
      </w:r>
    </w:p>
    <w:p>
      <w:pPr>
        <w:adjustRightInd w:val="0"/>
        <w:snapToGrid w:val="0"/>
        <w:spacing w:line="500" w:lineRule="exact"/>
        <w:rPr>
          <w:sz w:val="24"/>
          <w:highlight w:val="none"/>
        </w:rPr>
      </w:pPr>
      <w:r>
        <w:rPr>
          <w:sz w:val="24"/>
        </w:rPr>
        <w:t>其他说明：</w:t>
      </w:r>
      <w:r>
        <w:rPr>
          <w:rStyle w:val="31"/>
          <w:rFonts w:hint="default" w:ascii="Times New Roman" w:hAnsi="Times New Roman"/>
        </w:rPr>
        <w:t>投标人购买招标文</w:t>
      </w:r>
      <w:r>
        <w:rPr>
          <w:rStyle w:val="31"/>
          <w:rFonts w:hint="default" w:ascii="Times New Roman" w:hAnsi="Times New Roman"/>
          <w:highlight w:val="none"/>
        </w:rPr>
        <w:t>件时，需提供以下资料复印件并加盖公章：公司介绍信、购买人身份证。</w:t>
      </w:r>
    </w:p>
    <w:p>
      <w:pPr>
        <w:adjustRightInd w:val="0"/>
        <w:snapToGrid w:val="0"/>
        <w:spacing w:line="500" w:lineRule="exact"/>
        <w:rPr>
          <w:sz w:val="24"/>
          <w:highlight w:val="none"/>
        </w:rPr>
      </w:pPr>
      <w:r>
        <w:rPr>
          <w:sz w:val="24"/>
          <w:highlight w:val="none"/>
        </w:rPr>
        <w:t>4、投标文件的递交</w:t>
      </w:r>
    </w:p>
    <w:p>
      <w:pPr>
        <w:adjustRightInd w:val="0"/>
        <w:snapToGrid w:val="0"/>
        <w:spacing w:line="500" w:lineRule="exact"/>
        <w:rPr>
          <w:sz w:val="24"/>
          <w:highlight w:val="none"/>
        </w:rPr>
      </w:pPr>
      <w:r>
        <w:rPr>
          <w:sz w:val="24"/>
          <w:highlight w:val="none"/>
        </w:rPr>
        <w:t>4.1 投标截止时间（开标时间）：202</w:t>
      </w:r>
      <w:r>
        <w:rPr>
          <w:rFonts w:hint="eastAsia"/>
          <w:sz w:val="24"/>
          <w:highlight w:val="none"/>
          <w:lang w:val="en-US" w:eastAsia="zh-CN"/>
        </w:rPr>
        <w:t>4</w:t>
      </w:r>
      <w:r>
        <w:rPr>
          <w:sz w:val="24"/>
          <w:highlight w:val="none"/>
        </w:rPr>
        <w:t>年</w:t>
      </w:r>
      <w:r>
        <w:rPr>
          <w:rFonts w:hint="eastAsia"/>
          <w:sz w:val="24"/>
          <w:highlight w:val="none"/>
          <w:lang w:val="en-US" w:eastAsia="zh-CN"/>
        </w:rPr>
        <w:t>05</w:t>
      </w:r>
      <w:r>
        <w:rPr>
          <w:sz w:val="24"/>
          <w:highlight w:val="none"/>
        </w:rPr>
        <w:t>月</w:t>
      </w:r>
      <w:r>
        <w:rPr>
          <w:rFonts w:hint="eastAsia"/>
          <w:sz w:val="24"/>
          <w:highlight w:val="none"/>
          <w:lang w:val="en-US" w:eastAsia="zh-CN"/>
        </w:rPr>
        <w:t>15</w:t>
      </w:r>
      <w:r>
        <w:rPr>
          <w:sz w:val="24"/>
          <w:highlight w:val="none"/>
        </w:rPr>
        <w:t>日</w:t>
      </w:r>
      <w:r>
        <w:rPr>
          <w:rFonts w:hint="eastAsia"/>
          <w:sz w:val="24"/>
          <w:highlight w:val="none"/>
        </w:rPr>
        <w:t>09时30分</w:t>
      </w:r>
      <w:r>
        <w:rPr>
          <w:sz w:val="24"/>
          <w:highlight w:val="none"/>
        </w:rPr>
        <w:t>（北京时间）；逾期的投标，恕不接纳。</w:t>
      </w:r>
    </w:p>
    <w:p>
      <w:pPr>
        <w:adjustRightInd w:val="0"/>
        <w:snapToGrid w:val="0"/>
        <w:spacing w:line="500" w:lineRule="exact"/>
        <w:rPr>
          <w:sz w:val="24"/>
        </w:rPr>
      </w:pPr>
      <w:r>
        <w:rPr>
          <w:sz w:val="24"/>
        </w:rPr>
        <w:t>4.2 投标文件送达地点及开标地点：海南政坤招标代理有限公司（</w:t>
      </w:r>
      <w:r>
        <w:rPr>
          <w:rFonts w:hint="eastAsia"/>
          <w:sz w:val="24"/>
        </w:rPr>
        <w:t>海口市美兰区蓝天路名门广场北区A座1905室</w:t>
      </w:r>
      <w:r>
        <w:rPr>
          <w:sz w:val="24"/>
        </w:rPr>
        <w:t>）。</w:t>
      </w:r>
    </w:p>
    <w:p>
      <w:pPr>
        <w:adjustRightInd w:val="0"/>
        <w:snapToGrid w:val="0"/>
        <w:spacing w:line="500" w:lineRule="exact"/>
        <w:rPr>
          <w:sz w:val="24"/>
          <w:highlight w:val="none"/>
        </w:rPr>
      </w:pPr>
      <w:r>
        <w:rPr>
          <w:sz w:val="24"/>
        </w:rPr>
        <w:t>5、</w:t>
      </w:r>
      <w:r>
        <w:rPr>
          <w:rFonts w:hint="eastAsia"/>
          <w:sz w:val="24"/>
        </w:rPr>
        <w:t>投标人在投标前应在必联网（https://www.ebnew.com）或机电产品招标投标电子交易平台（https://www.chinabidding.com）完成注册及信息核验。评标结果将在必联网、中国国际招标网及海南省政府采购网上公示。</w:t>
      </w:r>
    </w:p>
    <w:p>
      <w:pPr>
        <w:pStyle w:val="3"/>
        <w:adjustRightInd w:val="0"/>
        <w:snapToGrid w:val="0"/>
        <w:spacing w:line="500" w:lineRule="exact"/>
        <w:ind w:left="0" w:leftChars="0"/>
        <w:rPr>
          <w:sz w:val="24"/>
          <w:highlight w:val="none"/>
        </w:rPr>
      </w:pPr>
      <w:r>
        <w:rPr>
          <w:sz w:val="24"/>
          <w:highlight w:val="none"/>
        </w:rPr>
        <w:t>6、联系方式</w:t>
      </w:r>
    </w:p>
    <w:p>
      <w:pPr>
        <w:pStyle w:val="3"/>
        <w:adjustRightInd w:val="0"/>
        <w:snapToGrid w:val="0"/>
        <w:spacing w:line="500" w:lineRule="exact"/>
        <w:ind w:left="0" w:leftChars="0"/>
        <w:rPr>
          <w:rFonts w:hint="eastAsia" w:eastAsia="宋体"/>
          <w:sz w:val="24"/>
          <w:highlight w:val="none"/>
          <w:lang w:eastAsia="zh-CN"/>
        </w:rPr>
      </w:pPr>
      <w:r>
        <w:rPr>
          <w:sz w:val="24"/>
          <w:highlight w:val="none"/>
        </w:rPr>
        <w:t>招标人：</w:t>
      </w:r>
      <w:r>
        <w:rPr>
          <w:rFonts w:hint="eastAsia"/>
          <w:sz w:val="24"/>
          <w:highlight w:val="none"/>
          <w:lang w:eastAsia="zh-CN"/>
        </w:rPr>
        <w:t>广东省中医院海南医院（海南省中医院）</w:t>
      </w:r>
    </w:p>
    <w:p>
      <w:pPr>
        <w:pStyle w:val="3"/>
        <w:adjustRightInd w:val="0"/>
        <w:snapToGrid w:val="0"/>
        <w:spacing w:line="500" w:lineRule="exact"/>
        <w:ind w:left="0" w:leftChars="0"/>
        <w:rPr>
          <w:sz w:val="24"/>
          <w:highlight w:val="none"/>
        </w:rPr>
      </w:pPr>
      <w:r>
        <w:rPr>
          <w:sz w:val="24"/>
          <w:highlight w:val="none"/>
        </w:rPr>
        <w:t>招标人地址：</w:t>
      </w:r>
      <w:r>
        <w:rPr>
          <w:rFonts w:hint="eastAsia"/>
          <w:sz w:val="24"/>
          <w:highlight w:val="none"/>
        </w:rPr>
        <w:t>海口市美兰区灵山镇椰海大道东19号</w:t>
      </w:r>
    </w:p>
    <w:p>
      <w:pPr>
        <w:pStyle w:val="3"/>
        <w:adjustRightInd w:val="0"/>
        <w:snapToGrid w:val="0"/>
        <w:spacing w:line="500" w:lineRule="exact"/>
        <w:ind w:left="0" w:leftChars="0"/>
        <w:rPr>
          <w:sz w:val="24"/>
          <w:highlight w:val="none"/>
        </w:rPr>
      </w:pPr>
      <w:r>
        <w:rPr>
          <w:sz w:val="24"/>
          <w:highlight w:val="none"/>
        </w:rPr>
        <w:t>联 系 人：</w:t>
      </w:r>
      <w:r>
        <w:rPr>
          <w:rFonts w:hint="eastAsia"/>
          <w:sz w:val="24"/>
          <w:highlight w:val="none"/>
        </w:rPr>
        <w:t>陈女士</w:t>
      </w:r>
    </w:p>
    <w:p>
      <w:pPr>
        <w:pStyle w:val="3"/>
        <w:adjustRightInd w:val="0"/>
        <w:snapToGrid w:val="0"/>
        <w:spacing w:line="500" w:lineRule="exact"/>
        <w:ind w:left="0" w:leftChars="0"/>
        <w:rPr>
          <w:sz w:val="24"/>
          <w:highlight w:val="none"/>
        </w:rPr>
      </w:pPr>
      <w:r>
        <w:rPr>
          <w:sz w:val="24"/>
          <w:highlight w:val="none"/>
        </w:rPr>
        <w:t>联系电话：</w:t>
      </w:r>
      <w:r>
        <w:rPr>
          <w:rFonts w:hint="eastAsia"/>
          <w:sz w:val="24"/>
          <w:highlight w:val="none"/>
        </w:rPr>
        <w:t>0898-65321153</w:t>
      </w:r>
    </w:p>
    <w:p>
      <w:pPr>
        <w:pStyle w:val="3"/>
        <w:adjustRightInd w:val="0"/>
        <w:snapToGrid w:val="0"/>
        <w:spacing w:line="500" w:lineRule="exact"/>
        <w:ind w:left="0" w:leftChars="0"/>
        <w:rPr>
          <w:sz w:val="24"/>
        </w:rPr>
      </w:pPr>
      <w:r>
        <w:rPr>
          <w:sz w:val="24"/>
          <w:highlight w:val="none"/>
        </w:rPr>
        <w:t>招标代理机构：海南政坤招标代理有</w:t>
      </w:r>
      <w:r>
        <w:rPr>
          <w:sz w:val="24"/>
        </w:rPr>
        <w:t>限公司</w:t>
      </w:r>
    </w:p>
    <w:p>
      <w:pPr>
        <w:adjustRightInd w:val="0"/>
        <w:snapToGrid w:val="0"/>
        <w:spacing w:line="500" w:lineRule="exact"/>
        <w:rPr>
          <w:sz w:val="24"/>
        </w:rPr>
      </w:pPr>
      <w:r>
        <w:rPr>
          <w:sz w:val="24"/>
        </w:rPr>
        <w:t>公司地址：</w:t>
      </w:r>
      <w:r>
        <w:rPr>
          <w:rFonts w:hint="eastAsia"/>
          <w:sz w:val="24"/>
        </w:rPr>
        <w:t>海口市美兰区蓝天路名门广场北区A座1905室</w:t>
      </w:r>
    </w:p>
    <w:p>
      <w:pPr>
        <w:adjustRightInd w:val="0"/>
        <w:snapToGrid w:val="0"/>
        <w:spacing w:line="500" w:lineRule="exact"/>
        <w:rPr>
          <w:sz w:val="24"/>
        </w:rPr>
      </w:pPr>
      <w:r>
        <w:rPr>
          <w:sz w:val="24"/>
        </w:rPr>
        <w:t>电    话：</w:t>
      </w:r>
      <w:r>
        <w:rPr>
          <w:sz w:val="24"/>
          <w:szCs w:val="22"/>
        </w:rPr>
        <w:t>0898-667</w:t>
      </w:r>
      <w:r>
        <w:rPr>
          <w:sz w:val="24"/>
        </w:rPr>
        <w:t>24435</w:t>
      </w:r>
    </w:p>
    <w:p>
      <w:pPr>
        <w:adjustRightInd w:val="0"/>
        <w:snapToGrid w:val="0"/>
        <w:spacing w:line="500" w:lineRule="exact"/>
        <w:rPr>
          <w:sz w:val="24"/>
        </w:rPr>
      </w:pPr>
      <w:r>
        <w:rPr>
          <w:sz w:val="24"/>
        </w:rPr>
        <w:t>邮   编：571000</w:t>
      </w:r>
    </w:p>
    <w:p>
      <w:pPr>
        <w:adjustRightInd w:val="0"/>
        <w:snapToGrid w:val="0"/>
        <w:spacing w:line="500" w:lineRule="exact"/>
        <w:rPr>
          <w:sz w:val="24"/>
        </w:rPr>
      </w:pPr>
      <w:r>
        <w:rPr>
          <w:sz w:val="24"/>
        </w:rPr>
        <w:t>联系人：</w:t>
      </w:r>
      <w:r>
        <w:rPr>
          <w:rFonts w:hint="eastAsia"/>
          <w:sz w:val="24"/>
        </w:rPr>
        <w:t>刘工、</w:t>
      </w:r>
      <w:r>
        <w:rPr>
          <w:rFonts w:hint="eastAsia"/>
          <w:sz w:val="24"/>
          <w:lang w:val="en-US" w:eastAsia="zh-CN"/>
        </w:rPr>
        <w:t>李</w:t>
      </w:r>
      <w:r>
        <w:rPr>
          <w:rFonts w:hint="eastAsia"/>
          <w:sz w:val="24"/>
        </w:rPr>
        <w:t>工</w:t>
      </w:r>
    </w:p>
    <w:p>
      <w:pPr>
        <w:adjustRightInd w:val="0"/>
        <w:snapToGrid w:val="0"/>
        <w:spacing w:line="500" w:lineRule="exact"/>
        <w:rPr>
          <w:sz w:val="24"/>
        </w:rPr>
      </w:pPr>
      <w:r>
        <w:rPr>
          <w:sz w:val="24"/>
        </w:rPr>
        <w:t>财务部联系人：</w:t>
      </w:r>
      <w:r>
        <w:rPr>
          <w:rFonts w:hint="eastAsia"/>
          <w:sz w:val="24"/>
        </w:rPr>
        <w:t>王</w:t>
      </w:r>
      <w:r>
        <w:rPr>
          <w:sz w:val="24"/>
        </w:rPr>
        <w:t>女士</w:t>
      </w:r>
    </w:p>
    <w:p>
      <w:pPr>
        <w:adjustRightInd w:val="0"/>
        <w:snapToGrid w:val="0"/>
        <w:spacing w:line="500" w:lineRule="exact"/>
        <w:rPr>
          <w:sz w:val="24"/>
        </w:rPr>
      </w:pPr>
      <w:r>
        <w:rPr>
          <w:sz w:val="24"/>
        </w:rPr>
        <w:t>账户名称：海南政坤招标代理有限公司</w:t>
      </w:r>
    </w:p>
    <w:p>
      <w:pPr>
        <w:adjustRightInd w:val="0"/>
        <w:snapToGrid w:val="0"/>
        <w:spacing w:line="500" w:lineRule="exact"/>
        <w:rPr>
          <w:sz w:val="24"/>
        </w:rPr>
      </w:pPr>
      <w:r>
        <w:rPr>
          <w:sz w:val="24"/>
        </w:rPr>
        <w:t>开户行：海口农村商业银行股份有限公司国兴支行</w:t>
      </w:r>
    </w:p>
    <w:p>
      <w:pPr>
        <w:adjustRightInd w:val="0"/>
        <w:snapToGrid w:val="0"/>
        <w:spacing w:line="500" w:lineRule="exact"/>
        <w:rPr>
          <w:sz w:val="24"/>
        </w:rPr>
      </w:pPr>
      <w:r>
        <w:rPr>
          <w:sz w:val="24"/>
        </w:rPr>
        <w:t>账  号：1011 0869 0000 0146</w:t>
      </w:r>
    </w:p>
    <w:p>
      <w:pPr>
        <w:spacing w:line="500" w:lineRule="exact"/>
        <w:jc w:val="center"/>
        <w:rPr>
          <w:rFonts w:eastAsia="方正楷体简体"/>
          <w:sz w:val="36"/>
          <w:szCs w:val="36"/>
        </w:rPr>
      </w:pPr>
      <w:r>
        <w:rPr>
          <w:sz w:val="24"/>
        </w:rPr>
        <w:br w:type="page"/>
      </w:r>
      <w:r>
        <w:rPr>
          <w:rFonts w:eastAsia="方正楷体简体"/>
          <w:b/>
          <w:bCs/>
          <w:sz w:val="36"/>
          <w:szCs w:val="36"/>
        </w:rPr>
        <w:t>第六章 投标资料表</w:t>
      </w:r>
    </w:p>
    <w:p>
      <w:pPr>
        <w:spacing w:line="500" w:lineRule="exact"/>
        <w:ind w:firstLine="480" w:firstLineChars="200"/>
        <w:rPr>
          <w:sz w:val="24"/>
        </w:rPr>
      </w:pPr>
      <w:r>
        <w:rPr>
          <w:sz w:val="24"/>
        </w:rPr>
        <w:t>本表关于要采购的</w:t>
      </w:r>
      <w:r>
        <w:rPr>
          <w:sz w:val="24"/>
          <w:szCs w:val="24"/>
        </w:rPr>
        <w:t>产品及服务的</w:t>
      </w:r>
      <w:r>
        <w:rPr>
          <w:sz w:val="24"/>
        </w:rPr>
        <w:t>具体资料是对中华人民共和国商务部机电和科技产业司编《机电产品国际招标标准招标文件》 2014年版“第一册 第一章 投标人须知”的具体补充和修改，如有不一致，应以本资料表为准；本资料表未述及者以投标人须知的规定为准。</w:t>
      </w:r>
    </w:p>
    <w:tbl>
      <w:tblPr>
        <w:tblStyle w:val="19"/>
        <w:tblW w:w="0" w:type="auto"/>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61"/>
        <w:gridCol w:w="778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1161" w:type="dxa"/>
            <w:noWrap/>
            <w:vAlign w:val="center"/>
          </w:tcPr>
          <w:p>
            <w:pPr>
              <w:spacing w:line="500" w:lineRule="exact"/>
              <w:jc w:val="center"/>
              <w:rPr>
                <w:kern w:val="11"/>
                <w:szCs w:val="21"/>
              </w:rPr>
            </w:pPr>
            <w:r>
              <w:rPr>
                <w:kern w:val="11"/>
                <w:szCs w:val="21"/>
              </w:rPr>
              <w:t>条款号</w:t>
            </w:r>
          </w:p>
        </w:tc>
        <w:tc>
          <w:tcPr>
            <w:tcW w:w="7781" w:type="dxa"/>
            <w:noWrap/>
            <w:vAlign w:val="center"/>
          </w:tcPr>
          <w:p>
            <w:pPr>
              <w:snapToGrid w:val="0"/>
              <w:spacing w:line="500" w:lineRule="exact"/>
              <w:jc w:val="center"/>
              <w:rPr>
                <w:kern w:val="11"/>
                <w:szCs w:val="21"/>
              </w:rPr>
            </w:pPr>
            <w:r>
              <w:rPr>
                <w:kern w:val="11"/>
                <w:szCs w:val="21"/>
              </w:rPr>
              <w:t>内          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2" w:hRule="atLeast"/>
        </w:trPr>
        <w:tc>
          <w:tcPr>
            <w:tcW w:w="8942" w:type="dxa"/>
            <w:gridSpan w:val="2"/>
            <w:noWrap/>
            <w:vAlign w:val="center"/>
          </w:tcPr>
          <w:p>
            <w:pPr>
              <w:snapToGrid w:val="0"/>
              <w:spacing w:line="500" w:lineRule="exact"/>
              <w:jc w:val="center"/>
              <w:rPr>
                <w:kern w:val="11"/>
                <w:szCs w:val="21"/>
              </w:rPr>
            </w:pPr>
            <w:r>
              <w:rPr>
                <w:kern w:val="11"/>
                <w:szCs w:val="21"/>
              </w:rPr>
              <w:t>一．说    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79" w:hRule="atLeast"/>
        </w:trPr>
        <w:tc>
          <w:tcPr>
            <w:tcW w:w="1161" w:type="dxa"/>
            <w:noWrap/>
            <w:vAlign w:val="center"/>
          </w:tcPr>
          <w:p>
            <w:pPr>
              <w:spacing w:line="500" w:lineRule="exact"/>
              <w:jc w:val="center"/>
              <w:rPr>
                <w:kern w:val="11"/>
                <w:szCs w:val="21"/>
              </w:rPr>
            </w:pPr>
            <w:r>
              <w:rPr>
                <w:kern w:val="11"/>
                <w:szCs w:val="21"/>
              </w:rPr>
              <w:t>1.1</w:t>
            </w:r>
          </w:p>
        </w:tc>
        <w:tc>
          <w:tcPr>
            <w:tcW w:w="7781" w:type="dxa"/>
            <w:noWrap/>
            <w:vAlign w:val="center"/>
          </w:tcPr>
          <w:p>
            <w:pPr>
              <w:snapToGrid w:val="0"/>
              <w:spacing w:line="500" w:lineRule="exact"/>
              <w:rPr>
                <w:rFonts w:hint="eastAsia" w:eastAsia="宋体"/>
                <w:kern w:val="11"/>
                <w:szCs w:val="21"/>
                <w:highlight w:val="none"/>
                <w:lang w:eastAsia="zh-CN"/>
              </w:rPr>
            </w:pPr>
            <w:r>
              <w:rPr>
                <w:kern w:val="11"/>
                <w:szCs w:val="21"/>
                <w:highlight w:val="none"/>
              </w:rPr>
              <w:t>招标人名称：</w:t>
            </w:r>
            <w:r>
              <w:rPr>
                <w:rFonts w:hint="eastAsia"/>
                <w:kern w:val="11"/>
                <w:szCs w:val="21"/>
                <w:highlight w:val="none"/>
                <w:lang w:eastAsia="zh-CN"/>
              </w:rPr>
              <w:t>广东省中医院海南医院（海南省中医院）</w:t>
            </w:r>
          </w:p>
          <w:p>
            <w:pPr>
              <w:snapToGrid w:val="0"/>
              <w:spacing w:line="500" w:lineRule="exact"/>
              <w:rPr>
                <w:kern w:val="11"/>
                <w:szCs w:val="21"/>
                <w:highlight w:val="none"/>
              </w:rPr>
            </w:pPr>
            <w:r>
              <w:rPr>
                <w:kern w:val="11"/>
                <w:szCs w:val="21"/>
                <w:highlight w:val="none"/>
              </w:rPr>
              <w:t>招标人地址：</w:t>
            </w:r>
            <w:r>
              <w:rPr>
                <w:rFonts w:hint="eastAsia"/>
                <w:kern w:val="11"/>
                <w:szCs w:val="21"/>
                <w:highlight w:val="none"/>
              </w:rPr>
              <w:t>海口市美兰区灵山镇椰海大道东19号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758" w:hRule="atLeast"/>
        </w:trPr>
        <w:tc>
          <w:tcPr>
            <w:tcW w:w="1161" w:type="dxa"/>
            <w:noWrap/>
            <w:vAlign w:val="center"/>
          </w:tcPr>
          <w:p>
            <w:pPr>
              <w:spacing w:line="500" w:lineRule="exact"/>
              <w:jc w:val="center"/>
              <w:rPr>
                <w:kern w:val="11"/>
                <w:szCs w:val="21"/>
              </w:rPr>
            </w:pPr>
            <w:r>
              <w:rPr>
                <w:kern w:val="11"/>
                <w:szCs w:val="21"/>
              </w:rPr>
              <w:t>1.2</w:t>
            </w:r>
          </w:p>
        </w:tc>
        <w:tc>
          <w:tcPr>
            <w:tcW w:w="7781" w:type="dxa"/>
            <w:noWrap/>
            <w:vAlign w:val="center"/>
          </w:tcPr>
          <w:p>
            <w:pPr>
              <w:snapToGrid w:val="0"/>
              <w:spacing w:line="500" w:lineRule="exact"/>
              <w:rPr>
                <w:kern w:val="11"/>
                <w:szCs w:val="21"/>
              </w:rPr>
            </w:pPr>
            <w:r>
              <w:rPr>
                <w:kern w:val="11"/>
                <w:szCs w:val="21"/>
              </w:rPr>
              <w:t>招标机构名称：海南政坤招标代理有限公司</w:t>
            </w:r>
          </w:p>
          <w:p>
            <w:pPr>
              <w:snapToGrid w:val="0"/>
              <w:spacing w:line="500" w:lineRule="exact"/>
              <w:rPr>
                <w:kern w:val="11"/>
                <w:szCs w:val="21"/>
              </w:rPr>
            </w:pPr>
            <w:r>
              <w:rPr>
                <w:kern w:val="11"/>
                <w:szCs w:val="21"/>
              </w:rPr>
              <w:t>招标机构地址：</w:t>
            </w:r>
            <w:r>
              <w:rPr>
                <w:rFonts w:hint="eastAsia"/>
                <w:kern w:val="11"/>
                <w:szCs w:val="21"/>
              </w:rPr>
              <w:t>海口市美兰区蓝天路名门广场北区A座1905室</w:t>
            </w:r>
          </w:p>
          <w:p>
            <w:pPr>
              <w:snapToGrid w:val="0"/>
              <w:spacing w:line="500" w:lineRule="exact"/>
              <w:rPr>
                <w:kern w:val="11"/>
                <w:szCs w:val="21"/>
              </w:rPr>
            </w:pPr>
            <w:r>
              <w:rPr>
                <w:kern w:val="11"/>
                <w:szCs w:val="21"/>
              </w:rPr>
              <w:t>邮编：571000</w:t>
            </w:r>
          </w:p>
          <w:p>
            <w:pPr>
              <w:snapToGrid w:val="0"/>
              <w:spacing w:line="500" w:lineRule="exact"/>
              <w:rPr>
                <w:kern w:val="11"/>
                <w:szCs w:val="21"/>
              </w:rPr>
            </w:pPr>
            <w:r>
              <w:rPr>
                <w:kern w:val="11"/>
                <w:szCs w:val="21"/>
              </w:rPr>
              <w:t>电话：0898-66724435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1" w:hRule="atLeast"/>
        </w:trPr>
        <w:tc>
          <w:tcPr>
            <w:tcW w:w="1161" w:type="dxa"/>
            <w:noWrap/>
            <w:vAlign w:val="center"/>
          </w:tcPr>
          <w:p>
            <w:pPr>
              <w:spacing w:line="500" w:lineRule="exact"/>
              <w:jc w:val="center"/>
              <w:rPr>
                <w:kern w:val="11"/>
                <w:szCs w:val="21"/>
              </w:rPr>
            </w:pPr>
            <w:r>
              <w:rPr>
                <w:kern w:val="11"/>
                <w:szCs w:val="21"/>
              </w:rPr>
              <w:t>1.3</w:t>
            </w:r>
          </w:p>
        </w:tc>
        <w:tc>
          <w:tcPr>
            <w:tcW w:w="7781" w:type="dxa"/>
            <w:noWrap/>
            <w:vAlign w:val="center"/>
          </w:tcPr>
          <w:p>
            <w:pPr>
              <w:snapToGrid w:val="0"/>
              <w:spacing w:line="500" w:lineRule="exact"/>
              <w:rPr>
                <w:kern w:val="11"/>
                <w:szCs w:val="21"/>
              </w:rPr>
            </w:pPr>
            <w:r>
              <w:rPr>
                <w:kern w:val="11"/>
                <w:szCs w:val="21"/>
              </w:rPr>
              <w:t>资金性质：财政资金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534" w:hRule="atLeast"/>
        </w:trPr>
        <w:tc>
          <w:tcPr>
            <w:tcW w:w="1161" w:type="dxa"/>
            <w:noWrap/>
            <w:vAlign w:val="center"/>
          </w:tcPr>
          <w:p>
            <w:pPr>
              <w:spacing w:line="500" w:lineRule="exact"/>
              <w:jc w:val="center"/>
              <w:rPr>
                <w:kern w:val="11"/>
                <w:szCs w:val="21"/>
              </w:rPr>
            </w:pPr>
            <w:r>
              <w:rPr>
                <w:rFonts w:eastAsia="华文中宋"/>
                <w:kern w:val="0"/>
                <w:sz w:val="22"/>
              </w:rPr>
              <w:t>2.8</w:t>
            </w:r>
          </w:p>
        </w:tc>
        <w:tc>
          <w:tcPr>
            <w:tcW w:w="7781" w:type="dxa"/>
            <w:noWrap/>
            <w:vAlign w:val="center"/>
          </w:tcPr>
          <w:p>
            <w:pPr>
              <w:snapToGrid w:val="0"/>
              <w:spacing w:line="500" w:lineRule="exact"/>
              <w:rPr>
                <w:kern w:val="11"/>
                <w:szCs w:val="21"/>
              </w:rPr>
            </w:pPr>
            <w:r>
              <w:rPr>
                <w:kern w:val="11"/>
                <w:szCs w:val="21"/>
              </w:rPr>
              <w:t>投标人应当于招标文件载明的投标截止时间前在</w:t>
            </w:r>
            <w:r>
              <w:rPr>
                <w:rFonts w:hint="eastAsia"/>
                <w:kern w:val="11"/>
                <w:szCs w:val="21"/>
              </w:rPr>
              <w:t>机电产品招标投标电子交易平台</w:t>
            </w:r>
            <w:r>
              <w:rPr>
                <w:kern w:val="11"/>
                <w:szCs w:val="21"/>
              </w:rPr>
              <w:t>（以下简称“招标网”，网址：http：//www.chinabidding.com）成功注册或年检。否则，投标人将不能进入招标程序，由此产生的后果由其自行承担。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1" w:hRule="atLeast"/>
        </w:trPr>
        <w:tc>
          <w:tcPr>
            <w:tcW w:w="8942" w:type="dxa"/>
            <w:gridSpan w:val="2"/>
            <w:noWrap/>
            <w:vAlign w:val="center"/>
          </w:tcPr>
          <w:p>
            <w:pPr>
              <w:snapToGrid w:val="0"/>
              <w:spacing w:line="500" w:lineRule="exact"/>
              <w:ind w:firstLine="3465" w:firstLineChars="1650"/>
              <w:rPr>
                <w:kern w:val="11"/>
                <w:szCs w:val="21"/>
              </w:rPr>
            </w:pPr>
            <w:r>
              <w:rPr>
                <w:kern w:val="11"/>
                <w:szCs w:val="21"/>
              </w:rPr>
              <w:t>二．招标文件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1" w:hRule="atLeast"/>
        </w:trPr>
        <w:tc>
          <w:tcPr>
            <w:tcW w:w="1161" w:type="dxa"/>
            <w:noWrap/>
            <w:vAlign w:val="center"/>
          </w:tcPr>
          <w:p>
            <w:pPr>
              <w:spacing w:line="500" w:lineRule="exact"/>
              <w:jc w:val="center"/>
              <w:rPr>
                <w:rFonts w:eastAsia="华文中宋"/>
                <w:kern w:val="0"/>
                <w:sz w:val="22"/>
              </w:rPr>
            </w:pPr>
            <w:r>
              <w:rPr>
                <w:rFonts w:eastAsia="华文中宋"/>
                <w:kern w:val="0"/>
                <w:sz w:val="22"/>
              </w:rPr>
              <w:t>5.2</w:t>
            </w:r>
          </w:p>
        </w:tc>
        <w:tc>
          <w:tcPr>
            <w:tcW w:w="7781" w:type="dxa"/>
            <w:noWrap/>
            <w:vAlign w:val="center"/>
          </w:tcPr>
          <w:p>
            <w:pPr>
              <w:snapToGrid w:val="0"/>
              <w:spacing w:line="500" w:lineRule="exact"/>
              <w:rPr>
                <w:kern w:val="11"/>
                <w:szCs w:val="21"/>
              </w:rPr>
            </w:pPr>
            <w:r>
              <w:rPr>
                <w:kern w:val="11"/>
                <w:szCs w:val="21"/>
              </w:rPr>
              <w:t>招标文件以中文或中、英文两种文字编写。以中、英文两种文字编写时，两种文字具有同等效力；中文本与英文本如有差异时，以中文本为准。纸质招标文件与电子介质招标文件具有同等法律效力，两者出现不一致时，以纸质招标文件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1" w:hRule="atLeast"/>
        </w:trPr>
        <w:tc>
          <w:tcPr>
            <w:tcW w:w="1161" w:type="dxa"/>
            <w:noWrap/>
            <w:vAlign w:val="center"/>
          </w:tcPr>
          <w:p>
            <w:pPr>
              <w:spacing w:line="500" w:lineRule="exact"/>
              <w:jc w:val="center"/>
              <w:rPr>
                <w:rFonts w:eastAsia="华文中宋"/>
                <w:kern w:val="0"/>
                <w:sz w:val="22"/>
              </w:rPr>
            </w:pPr>
            <w:r>
              <w:rPr>
                <w:rFonts w:eastAsia="华文中宋"/>
                <w:kern w:val="0"/>
                <w:sz w:val="22"/>
              </w:rPr>
              <w:t>5.4</w:t>
            </w:r>
          </w:p>
        </w:tc>
        <w:tc>
          <w:tcPr>
            <w:tcW w:w="7781" w:type="dxa"/>
            <w:noWrap/>
            <w:vAlign w:val="center"/>
          </w:tcPr>
          <w:p>
            <w:pPr>
              <w:snapToGrid w:val="0"/>
              <w:spacing w:line="500" w:lineRule="exact"/>
              <w:rPr>
                <w:kern w:val="11"/>
                <w:szCs w:val="21"/>
              </w:rPr>
            </w:pPr>
            <w:r>
              <w:rPr>
                <w:kern w:val="11"/>
                <w:szCs w:val="21"/>
              </w:rPr>
              <w:t>投标人应认真阅读招标文件中所有的事项、格式、条款和技术规格等，并按照招标</w:t>
            </w:r>
          </w:p>
          <w:p>
            <w:pPr>
              <w:snapToGrid w:val="0"/>
              <w:spacing w:line="500" w:lineRule="exact"/>
              <w:rPr>
                <w:kern w:val="11"/>
                <w:szCs w:val="21"/>
              </w:rPr>
            </w:pPr>
            <w:r>
              <w:rPr>
                <w:kern w:val="11"/>
                <w:szCs w:val="21"/>
              </w:rPr>
              <w:t>文件的要求编制投标文件。若投标人不按照招标文件要求编制投标文件，由此产生</w:t>
            </w:r>
          </w:p>
          <w:p>
            <w:pPr>
              <w:snapToGrid w:val="0"/>
              <w:spacing w:line="500" w:lineRule="exact"/>
              <w:rPr>
                <w:kern w:val="11"/>
                <w:szCs w:val="21"/>
              </w:rPr>
            </w:pPr>
            <w:r>
              <w:rPr>
                <w:kern w:val="11"/>
                <w:szCs w:val="21"/>
              </w:rPr>
              <w:t>的风险将由投标人自己承担。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91" w:hRule="atLeast"/>
        </w:trPr>
        <w:tc>
          <w:tcPr>
            <w:tcW w:w="1161" w:type="dxa"/>
            <w:noWrap/>
            <w:vAlign w:val="center"/>
          </w:tcPr>
          <w:p>
            <w:pPr>
              <w:spacing w:line="500" w:lineRule="exact"/>
              <w:jc w:val="center"/>
              <w:rPr>
                <w:rFonts w:eastAsia="华文中宋"/>
                <w:kern w:val="0"/>
                <w:sz w:val="22"/>
              </w:rPr>
            </w:pPr>
            <w:r>
              <w:rPr>
                <w:rFonts w:eastAsia="华文中宋"/>
                <w:kern w:val="0"/>
                <w:sz w:val="22"/>
              </w:rPr>
              <w:t>6.1</w:t>
            </w:r>
          </w:p>
        </w:tc>
        <w:tc>
          <w:tcPr>
            <w:tcW w:w="7781" w:type="dxa"/>
            <w:noWrap/>
            <w:vAlign w:val="center"/>
          </w:tcPr>
          <w:p>
            <w:pPr>
              <w:snapToGrid w:val="0"/>
              <w:spacing w:line="500" w:lineRule="exact"/>
              <w:rPr>
                <w:kern w:val="11"/>
                <w:szCs w:val="21"/>
              </w:rPr>
            </w:pPr>
            <w:r>
              <w:rPr>
                <w:kern w:val="11"/>
                <w:szCs w:val="21"/>
              </w:rPr>
              <w:t>潜在投标人要求对招标文件（包括对招标文件修改的内容）进行澄清的，均应在</w:t>
            </w:r>
            <w:r>
              <w:t>投标截止时间10日</w:t>
            </w:r>
            <w:r>
              <w:rPr>
                <w:kern w:val="11"/>
                <w:szCs w:val="21"/>
              </w:rPr>
              <w:t>之前以书面形式通知招标人或招标机构。招标人或招标机构将对投标资料表规定的时间之前收到的澄清要求均以书面形式予以答复，同时将书面答复发给每个领购招标文件的潜在投标人(答复中不包括问题的来源)。</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1" w:hRule="atLeast"/>
        </w:trPr>
        <w:tc>
          <w:tcPr>
            <w:tcW w:w="1161" w:type="dxa"/>
            <w:noWrap/>
            <w:vAlign w:val="center"/>
          </w:tcPr>
          <w:p>
            <w:pPr>
              <w:snapToGrid w:val="0"/>
              <w:spacing w:line="500" w:lineRule="exact"/>
              <w:ind w:firstLine="315" w:firstLineChars="150"/>
              <w:rPr>
                <w:kern w:val="11"/>
                <w:szCs w:val="21"/>
              </w:rPr>
            </w:pPr>
            <w:r>
              <w:rPr>
                <w:kern w:val="11"/>
                <w:szCs w:val="21"/>
              </w:rPr>
              <w:t>7</w:t>
            </w:r>
          </w:p>
        </w:tc>
        <w:tc>
          <w:tcPr>
            <w:tcW w:w="7781" w:type="dxa"/>
            <w:noWrap/>
            <w:vAlign w:val="center"/>
          </w:tcPr>
          <w:p>
            <w:pPr>
              <w:snapToGrid w:val="0"/>
              <w:spacing w:line="500" w:lineRule="exact"/>
              <w:rPr>
                <w:kern w:val="11"/>
                <w:szCs w:val="21"/>
              </w:rPr>
            </w:pPr>
            <w:r>
              <w:rPr>
                <w:kern w:val="11"/>
                <w:szCs w:val="21"/>
              </w:rPr>
              <w:t>已领购招标文件的潜在投标人对招标文件（包括对招标文件澄清和修改的内容）有异议的，应当在投标截止时间10日前向招标人或招标机构提出，并将异议内容上传</w:t>
            </w:r>
            <w:r>
              <w:rPr>
                <w:rFonts w:hint="eastAsia"/>
                <w:kern w:val="11"/>
                <w:szCs w:val="21"/>
              </w:rPr>
              <w:t>机电产品招标投标电子交易平台</w:t>
            </w:r>
            <w:r>
              <w:rPr>
                <w:kern w:val="11"/>
                <w:szCs w:val="21"/>
              </w:rPr>
              <w:t>。招标人或招标机构将在自收到异议之日起3日内作出答复，并将答复上传</w:t>
            </w:r>
            <w:r>
              <w:rPr>
                <w:rFonts w:hint="eastAsia"/>
                <w:kern w:val="11"/>
                <w:szCs w:val="21"/>
              </w:rPr>
              <w:t>机电产品招标投标电子交易平台</w:t>
            </w:r>
            <w:r>
              <w:rPr>
                <w:kern w:val="11"/>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trPr>
        <w:tc>
          <w:tcPr>
            <w:tcW w:w="8942" w:type="dxa"/>
            <w:gridSpan w:val="2"/>
            <w:noWrap/>
            <w:vAlign w:val="center"/>
          </w:tcPr>
          <w:p>
            <w:pPr>
              <w:snapToGrid w:val="0"/>
              <w:spacing w:line="500" w:lineRule="exact"/>
              <w:ind w:firstLine="3255" w:firstLineChars="1550"/>
              <w:rPr>
                <w:kern w:val="11"/>
                <w:szCs w:val="21"/>
              </w:rPr>
            </w:pPr>
            <w:r>
              <w:rPr>
                <w:kern w:val="11"/>
                <w:szCs w:val="21"/>
              </w:rPr>
              <w:t>三．投标文件的编制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4" w:hRule="atLeast"/>
        </w:trPr>
        <w:tc>
          <w:tcPr>
            <w:tcW w:w="1161" w:type="dxa"/>
            <w:noWrap/>
            <w:vAlign w:val="center"/>
          </w:tcPr>
          <w:p>
            <w:pPr>
              <w:spacing w:line="500" w:lineRule="exact"/>
              <w:jc w:val="center"/>
              <w:rPr>
                <w:kern w:val="11"/>
                <w:szCs w:val="21"/>
              </w:rPr>
            </w:pPr>
            <w:r>
              <w:rPr>
                <w:kern w:val="11"/>
                <w:szCs w:val="21"/>
              </w:rPr>
              <w:t>8.1</w:t>
            </w:r>
          </w:p>
        </w:tc>
        <w:tc>
          <w:tcPr>
            <w:tcW w:w="7781" w:type="dxa"/>
            <w:noWrap/>
            <w:vAlign w:val="center"/>
          </w:tcPr>
          <w:p>
            <w:pPr>
              <w:snapToGrid w:val="0"/>
              <w:spacing w:line="500" w:lineRule="exact"/>
              <w:rPr>
                <w:kern w:val="11"/>
                <w:szCs w:val="21"/>
              </w:rPr>
            </w:pPr>
            <w:r>
              <w:rPr>
                <w:kern w:val="11"/>
                <w:szCs w:val="21"/>
              </w:rPr>
              <w:t>投标语言：中文</w:t>
            </w:r>
          </w:p>
          <w:p>
            <w:pPr>
              <w:snapToGrid w:val="0"/>
              <w:spacing w:line="500" w:lineRule="exact"/>
              <w:rPr>
                <w:kern w:val="11"/>
                <w:szCs w:val="21"/>
              </w:rPr>
            </w:pPr>
            <w:r>
              <w:rPr>
                <w:kern w:val="11"/>
                <w:szCs w:val="21"/>
              </w:rPr>
              <w:t>投标文件：采用中文；技术及商务资料若为其它语言应提供中文翻译资料，如有差异，以中文为准；开标一览表采用中文填写。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23" w:hRule="atLeast"/>
        </w:trPr>
        <w:tc>
          <w:tcPr>
            <w:tcW w:w="1161" w:type="dxa"/>
            <w:noWrap/>
            <w:vAlign w:val="center"/>
          </w:tcPr>
          <w:p>
            <w:pPr>
              <w:spacing w:line="500" w:lineRule="exact"/>
              <w:jc w:val="center"/>
              <w:rPr>
                <w:kern w:val="11"/>
                <w:szCs w:val="21"/>
              </w:rPr>
            </w:pPr>
            <w:r>
              <w:rPr>
                <w:kern w:val="11"/>
                <w:szCs w:val="21"/>
              </w:rPr>
              <w:t>10.3</w:t>
            </w:r>
          </w:p>
        </w:tc>
        <w:tc>
          <w:tcPr>
            <w:tcW w:w="7781" w:type="dxa"/>
            <w:noWrap/>
            <w:vAlign w:val="center"/>
          </w:tcPr>
          <w:p>
            <w:pPr>
              <w:snapToGrid w:val="0"/>
              <w:spacing w:line="500" w:lineRule="exact"/>
              <w:rPr>
                <w:kern w:val="11"/>
                <w:szCs w:val="21"/>
              </w:rPr>
            </w:pPr>
            <w:r>
              <w:rPr>
                <w:kern w:val="11"/>
                <w:szCs w:val="21"/>
              </w:rPr>
              <w:t>不允许有备选方案</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4" w:hRule="atLeast"/>
        </w:trPr>
        <w:tc>
          <w:tcPr>
            <w:tcW w:w="1161" w:type="dxa"/>
            <w:noWrap/>
            <w:vAlign w:val="center"/>
          </w:tcPr>
          <w:p>
            <w:pPr>
              <w:spacing w:line="500" w:lineRule="exact"/>
              <w:jc w:val="center"/>
              <w:rPr>
                <w:kern w:val="11"/>
                <w:szCs w:val="21"/>
              </w:rPr>
            </w:pPr>
            <w:r>
              <w:rPr>
                <w:kern w:val="11"/>
                <w:szCs w:val="21"/>
              </w:rPr>
              <w:t>11.2</w:t>
            </w:r>
          </w:p>
        </w:tc>
        <w:tc>
          <w:tcPr>
            <w:tcW w:w="7781" w:type="dxa"/>
            <w:noWrap/>
            <w:vAlign w:val="center"/>
          </w:tcPr>
          <w:p>
            <w:pPr>
              <w:snapToGrid w:val="0"/>
              <w:spacing w:line="500" w:lineRule="exact"/>
              <w:rPr>
                <w:kern w:val="11"/>
                <w:szCs w:val="21"/>
              </w:rPr>
            </w:pPr>
            <w:r>
              <w:rPr>
                <w:kern w:val="11"/>
                <w:szCs w:val="21"/>
              </w:rPr>
              <w:t>本次招标报价不允许有缺漏项，否则为实质性偏离招标文件要求，评标委员会将否决其投标。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5" w:hRule="atLeast"/>
        </w:trPr>
        <w:tc>
          <w:tcPr>
            <w:tcW w:w="1161" w:type="dxa"/>
            <w:noWrap/>
            <w:vAlign w:val="center"/>
          </w:tcPr>
          <w:p>
            <w:pPr>
              <w:spacing w:line="500" w:lineRule="exact"/>
              <w:jc w:val="center"/>
              <w:rPr>
                <w:kern w:val="11"/>
                <w:szCs w:val="21"/>
              </w:rPr>
            </w:pPr>
            <w:r>
              <w:rPr>
                <w:kern w:val="11"/>
                <w:szCs w:val="21"/>
              </w:rPr>
              <w:t>11.4</w:t>
            </w:r>
          </w:p>
        </w:tc>
        <w:tc>
          <w:tcPr>
            <w:tcW w:w="7781" w:type="dxa"/>
            <w:noWrap/>
            <w:vAlign w:val="center"/>
          </w:tcPr>
          <w:p>
            <w:pPr>
              <w:snapToGrid w:val="0"/>
              <w:spacing w:line="500" w:lineRule="exact"/>
              <w:rPr>
                <w:kern w:val="11"/>
                <w:szCs w:val="21"/>
              </w:rPr>
            </w:pPr>
            <w:r>
              <w:rPr>
                <w:kern w:val="11"/>
                <w:szCs w:val="21"/>
              </w:rPr>
              <w:t>本次招标不接受选择性报价或者有附加条件的报价。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80" w:hRule="atLeast"/>
        </w:trPr>
        <w:tc>
          <w:tcPr>
            <w:tcW w:w="1161" w:type="dxa"/>
            <w:noWrap/>
            <w:vAlign w:val="center"/>
          </w:tcPr>
          <w:p>
            <w:pPr>
              <w:spacing w:line="500" w:lineRule="exact"/>
              <w:jc w:val="center"/>
              <w:rPr>
                <w:kern w:val="11"/>
                <w:szCs w:val="21"/>
              </w:rPr>
            </w:pPr>
            <w:r>
              <w:rPr>
                <w:kern w:val="11"/>
                <w:szCs w:val="21"/>
              </w:rPr>
              <w:t>★11.6.1</w:t>
            </w:r>
          </w:p>
        </w:tc>
        <w:tc>
          <w:tcPr>
            <w:tcW w:w="7781" w:type="dxa"/>
            <w:noWrap/>
            <w:vAlign w:val="center"/>
          </w:tcPr>
          <w:p>
            <w:pPr>
              <w:snapToGrid w:val="0"/>
              <w:spacing w:line="500" w:lineRule="exact"/>
              <w:rPr>
                <w:kern w:val="11"/>
                <w:szCs w:val="21"/>
              </w:rPr>
            </w:pPr>
            <w:r>
              <w:rPr>
                <w:kern w:val="11"/>
                <w:szCs w:val="21"/>
              </w:rPr>
              <w:t>投标报价：</w:t>
            </w:r>
          </w:p>
          <w:p>
            <w:pPr>
              <w:snapToGrid w:val="0"/>
              <w:spacing w:line="500" w:lineRule="exact"/>
              <w:rPr>
                <w:kern w:val="11"/>
                <w:szCs w:val="21"/>
              </w:rPr>
            </w:pPr>
            <w:r>
              <w:rPr>
                <w:kern w:val="11"/>
                <w:szCs w:val="21"/>
              </w:rPr>
              <w:t>1）从中华人民共和国关境内提供的货物：</w:t>
            </w:r>
          </w:p>
          <w:p>
            <w:pPr>
              <w:snapToGrid w:val="0"/>
              <w:spacing w:line="500" w:lineRule="exact"/>
              <w:rPr>
                <w:kern w:val="11"/>
                <w:szCs w:val="21"/>
              </w:rPr>
            </w:pPr>
            <w:r>
              <w:rPr>
                <w:kern w:val="11"/>
                <w:szCs w:val="21"/>
              </w:rPr>
              <w:t>报所供货物运至招标人最终指定地点，招标人验收合格后的总价（包含货物价、运费、保险、安装调试、培训、税费和招标文件规定的其它费用）。此条为重要商务条款 。</w:t>
            </w:r>
          </w:p>
          <w:p>
            <w:pPr>
              <w:snapToGrid w:val="0"/>
              <w:spacing w:line="500" w:lineRule="exact"/>
              <w:rPr>
                <w:kern w:val="11"/>
                <w:szCs w:val="21"/>
              </w:rPr>
            </w:pPr>
            <w:r>
              <w:rPr>
                <w:kern w:val="11"/>
                <w:szCs w:val="21"/>
              </w:rPr>
              <w:t>2）投标截止时间前已经进口的货物：</w:t>
            </w:r>
          </w:p>
          <w:p>
            <w:pPr>
              <w:snapToGrid w:val="0"/>
              <w:spacing w:line="500" w:lineRule="exact"/>
              <w:rPr>
                <w:kern w:val="11"/>
                <w:szCs w:val="21"/>
              </w:rPr>
            </w:pPr>
            <w:r>
              <w:rPr>
                <w:kern w:val="11"/>
                <w:szCs w:val="21"/>
              </w:rPr>
              <w:t>报所供货物运至招标人最终指定地点，招标人验收合格后的总价（包含货物价、运费、保险、安装调试、培训、税费和招标文件规定的其它费用）。此条为重要商务条款。</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2" w:hRule="atLeast"/>
        </w:trPr>
        <w:tc>
          <w:tcPr>
            <w:tcW w:w="1161" w:type="dxa"/>
            <w:noWrap/>
            <w:vAlign w:val="center"/>
          </w:tcPr>
          <w:p>
            <w:pPr>
              <w:spacing w:line="500" w:lineRule="exact"/>
              <w:jc w:val="center"/>
              <w:rPr>
                <w:kern w:val="11"/>
                <w:szCs w:val="21"/>
              </w:rPr>
            </w:pPr>
            <w:r>
              <w:rPr>
                <w:kern w:val="11"/>
                <w:szCs w:val="21"/>
              </w:rPr>
              <w:t>★11.6.2</w:t>
            </w:r>
          </w:p>
        </w:tc>
        <w:tc>
          <w:tcPr>
            <w:tcW w:w="7781" w:type="dxa"/>
            <w:noWrap/>
            <w:vAlign w:val="center"/>
          </w:tcPr>
          <w:p>
            <w:pPr>
              <w:snapToGrid w:val="0"/>
              <w:spacing w:line="500" w:lineRule="exact"/>
              <w:rPr>
                <w:kern w:val="11"/>
                <w:szCs w:val="21"/>
              </w:rPr>
            </w:pPr>
            <w:r>
              <w:rPr>
                <w:kern w:val="11"/>
                <w:szCs w:val="21"/>
              </w:rPr>
              <w:t>投标报价：</w:t>
            </w:r>
          </w:p>
          <w:p>
            <w:pPr>
              <w:snapToGrid w:val="0"/>
              <w:spacing w:line="500" w:lineRule="exact"/>
              <w:rPr>
                <w:kern w:val="11"/>
                <w:szCs w:val="21"/>
              </w:rPr>
            </w:pPr>
            <w:r>
              <w:rPr>
                <w:kern w:val="11"/>
                <w:szCs w:val="21"/>
              </w:rPr>
              <w:t>从中华人民共和国关境外提供的货物：</w:t>
            </w:r>
          </w:p>
          <w:p>
            <w:pPr>
              <w:snapToGrid w:val="0"/>
              <w:spacing w:line="500" w:lineRule="exact"/>
              <w:rPr>
                <w:kern w:val="11"/>
                <w:szCs w:val="21"/>
              </w:rPr>
            </w:pPr>
            <w:r>
              <w:rPr>
                <w:kern w:val="11"/>
                <w:szCs w:val="21"/>
              </w:rPr>
              <w:t>报DDP招标人最终指定地点价格(并要含进口关税和增值税和相关进口环节费用)。</w:t>
            </w:r>
          </w:p>
          <w:p>
            <w:pPr>
              <w:snapToGrid w:val="0"/>
              <w:spacing w:line="500" w:lineRule="exact"/>
              <w:rPr>
                <w:kern w:val="11"/>
                <w:szCs w:val="21"/>
              </w:rPr>
            </w:pPr>
            <w:r>
              <w:rPr>
                <w:kern w:val="11"/>
                <w:szCs w:val="21"/>
              </w:rPr>
              <w:t>此条为重要商务条款。</w:t>
            </w:r>
          </w:p>
          <w:p>
            <w:pPr>
              <w:snapToGrid w:val="0"/>
              <w:spacing w:line="500" w:lineRule="exact"/>
              <w:rPr>
                <w:kern w:val="11"/>
                <w:szCs w:val="21"/>
              </w:rPr>
            </w:pPr>
            <w:r>
              <w:rPr>
                <w:rFonts w:hint="eastAsia"/>
                <w:kern w:val="11"/>
                <w:szCs w:val="21"/>
              </w:rPr>
              <w:t>注：如果货物在海南通关前，招标人可以享受海南省自由贸易港免税政策，卖方必须按照相关政策进行免税。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5" w:hRule="atLeast"/>
        </w:trPr>
        <w:tc>
          <w:tcPr>
            <w:tcW w:w="1161" w:type="dxa"/>
            <w:noWrap/>
            <w:vAlign w:val="center"/>
          </w:tcPr>
          <w:p>
            <w:pPr>
              <w:spacing w:line="500" w:lineRule="exact"/>
              <w:jc w:val="center"/>
              <w:rPr>
                <w:kern w:val="11"/>
                <w:szCs w:val="21"/>
              </w:rPr>
            </w:pPr>
            <w:r>
              <w:rPr>
                <w:kern w:val="11"/>
                <w:szCs w:val="21"/>
              </w:rPr>
              <w:t>★12.1</w:t>
            </w:r>
          </w:p>
        </w:tc>
        <w:tc>
          <w:tcPr>
            <w:tcW w:w="7781" w:type="dxa"/>
            <w:noWrap/>
            <w:vAlign w:val="center"/>
          </w:tcPr>
          <w:p>
            <w:pPr>
              <w:snapToGrid w:val="0"/>
              <w:spacing w:line="500" w:lineRule="exact"/>
              <w:rPr>
                <w:kern w:val="11"/>
                <w:szCs w:val="21"/>
              </w:rPr>
            </w:pPr>
            <w:r>
              <w:rPr>
                <w:kern w:val="11"/>
                <w:szCs w:val="21"/>
              </w:rPr>
              <w:t>投标人从中华人民共和国关境内提供的货物和服务用人民币报价。此条为重要商务条款</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161" w:type="dxa"/>
            <w:noWrap/>
            <w:vAlign w:val="center"/>
          </w:tcPr>
          <w:p>
            <w:pPr>
              <w:spacing w:line="500" w:lineRule="exact"/>
              <w:jc w:val="center"/>
              <w:rPr>
                <w:kern w:val="11"/>
                <w:szCs w:val="21"/>
              </w:rPr>
            </w:pPr>
            <w:r>
              <w:rPr>
                <w:kern w:val="11"/>
                <w:szCs w:val="21"/>
              </w:rPr>
              <w:t>★12.2</w:t>
            </w:r>
          </w:p>
        </w:tc>
        <w:tc>
          <w:tcPr>
            <w:tcW w:w="7781" w:type="dxa"/>
            <w:noWrap/>
            <w:vAlign w:val="center"/>
          </w:tcPr>
          <w:p>
            <w:pPr>
              <w:snapToGrid w:val="0"/>
              <w:spacing w:line="500" w:lineRule="exact"/>
              <w:rPr>
                <w:kern w:val="11"/>
                <w:szCs w:val="21"/>
              </w:rPr>
            </w:pPr>
            <w:r>
              <w:rPr>
                <w:kern w:val="11"/>
                <w:szCs w:val="21"/>
              </w:rPr>
              <w:t>投标人从中华人民共和国关境外提供的货物和服务用人民币货币报价。此条为重要商务条款</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161" w:type="dxa"/>
            <w:noWrap/>
            <w:vAlign w:val="center"/>
          </w:tcPr>
          <w:p>
            <w:pPr>
              <w:spacing w:line="500" w:lineRule="exact"/>
              <w:jc w:val="center"/>
              <w:rPr>
                <w:kern w:val="11"/>
                <w:szCs w:val="21"/>
              </w:rPr>
            </w:pPr>
            <w:r>
              <w:rPr>
                <w:kern w:val="11"/>
                <w:szCs w:val="21"/>
              </w:rPr>
              <w:t>13.1</w:t>
            </w:r>
          </w:p>
        </w:tc>
        <w:tc>
          <w:tcPr>
            <w:tcW w:w="7781" w:type="dxa"/>
            <w:noWrap/>
            <w:vAlign w:val="center"/>
          </w:tcPr>
          <w:p>
            <w:pPr>
              <w:snapToGrid w:val="0"/>
              <w:spacing w:line="500" w:lineRule="exact"/>
              <w:rPr>
                <w:kern w:val="11"/>
                <w:szCs w:val="21"/>
              </w:rPr>
            </w:pPr>
            <w:r>
              <w:rPr>
                <w:kern w:val="11"/>
                <w:szCs w:val="21"/>
              </w:rPr>
              <w:t>联合体投标：本项目不接受投标人以联合体形式参与</w:t>
            </w:r>
            <w:r>
              <w:t>投标</w:t>
            </w:r>
            <w:r>
              <w:rPr>
                <w:kern w:val="11"/>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33" w:hRule="atLeast"/>
        </w:trPr>
        <w:tc>
          <w:tcPr>
            <w:tcW w:w="1161" w:type="dxa"/>
            <w:noWrap/>
            <w:vAlign w:val="center"/>
          </w:tcPr>
          <w:p>
            <w:pPr>
              <w:spacing w:line="500" w:lineRule="exact"/>
              <w:jc w:val="center"/>
              <w:rPr>
                <w:kern w:val="11"/>
                <w:szCs w:val="21"/>
              </w:rPr>
            </w:pPr>
            <w:r>
              <w:rPr>
                <w:kern w:val="11"/>
                <w:szCs w:val="21"/>
              </w:rPr>
              <w:t>13.3</w:t>
            </w:r>
          </w:p>
        </w:tc>
        <w:tc>
          <w:tcPr>
            <w:tcW w:w="7781" w:type="dxa"/>
            <w:noWrap/>
            <w:vAlign w:val="center"/>
          </w:tcPr>
          <w:p>
            <w:pPr>
              <w:spacing w:line="480" w:lineRule="exact"/>
              <w:rPr>
                <w:kern w:val="11"/>
                <w:szCs w:val="21"/>
              </w:rPr>
            </w:pPr>
            <w:r>
              <w:rPr>
                <w:kern w:val="11"/>
                <w:szCs w:val="21"/>
              </w:rPr>
              <w:t>投标人提交的证明其中标后能履行合同的资格证明文件应包括下列文件：</w:t>
            </w:r>
          </w:p>
          <w:p>
            <w:pPr>
              <w:snapToGrid w:val="0"/>
              <w:spacing w:line="480" w:lineRule="exact"/>
              <w:rPr>
                <w:kern w:val="11"/>
                <w:szCs w:val="21"/>
              </w:rPr>
            </w:pPr>
            <w:r>
              <w:rPr>
                <w:b/>
                <w:bCs/>
                <w:kern w:val="11"/>
                <w:szCs w:val="21"/>
              </w:rPr>
              <w:t>1、如果投标人按照合同提供的货物不是投标人自己制造的，投标人应得到货物制造商同意其在本次投标中提供该货物的有效授权书(参见《招标文件》第一册 第四章 格式Ⅳ-9-4) 或具有授权权限的代理商对投标产品的授权（且需提供该代理商具有有效授权权限的相关证明文件，证明文件需能显示货物制造商对投标产品授权链条的完整性）</w:t>
            </w:r>
            <w:r>
              <w:rPr>
                <w:kern w:val="11"/>
                <w:szCs w:val="21"/>
              </w:rPr>
              <w:t>；</w:t>
            </w:r>
            <w:r>
              <w:t>认定投标人数量时，两家以上投标人的投标产品为同一家制造商或集成商生产的，按一家投标人认定。对两家以上集成商或代理商使用相同制造商产品作为其项目包的一部分，且相同产品的价格总和均超过该项目包各自投标总价60%</w:t>
            </w:r>
            <w:r>
              <w:rPr>
                <w:kern w:val="11"/>
                <w:szCs w:val="21"/>
              </w:rPr>
              <w:t>的，按一家投标人认定。</w:t>
            </w:r>
          </w:p>
          <w:p>
            <w:pPr>
              <w:snapToGrid w:val="0"/>
              <w:spacing w:line="480" w:lineRule="exact"/>
              <w:rPr>
                <w:kern w:val="11"/>
                <w:szCs w:val="21"/>
              </w:rPr>
            </w:pPr>
            <w:r>
              <w:rPr>
                <w:kern w:val="11"/>
                <w:szCs w:val="21"/>
              </w:rPr>
              <w:t>2、单位负责人授权书。</w:t>
            </w:r>
          </w:p>
          <w:p>
            <w:pPr>
              <w:snapToGrid w:val="0"/>
              <w:spacing w:line="480" w:lineRule="exact"/>
            </w:pPr>
            <w:r>
              <w:rPr>
                <w:kern w:val="11"/>
                <w:szCs w:val="21"/>
              </w:rPr>
              <w:t>3、投标</w:t>
            </w:r>
            <w:r>
              <w:t>人开户银行在开标日前三个月内开具的资信证明原件或复印件。</w:t>
            </w:r>
          </w:p>
          <w:p>
            <w:pPr>
              <w:snapToGrid w:val="0"/>
              <w:spacing w:line="480" w:lineRule="exact"/>
              <w:rPr>
                <w:b/>
                <w:bCs/>
                <w:szCs w:val="22"/>
              </w:rPr>
            </w:pPr>
            <w:r>
              <w:rPr>
                <w:b/>
                <w:bCs/>
                <w:szCs w:val="22"/>
              </w:rPr>
              <w:t>4、</w:t>
            </w:r>
            <w:r>
              <w:rPr>
                <w:b/>
                <w:bCs/>
                <w:spacing w:val="-6"/>
                <w:szCs w:val="22"/>
              </w:rPr>
              <w:t>“其他资格证明文件”是指证明投标人及其各合作方符合下列资格能力要求的文件：</w:t>
            </w:r>
          </w:p>
          <w:p>
            <w:pPr>
              <w:snapToGrid w:val="0"/>
              <w:spacing w:line="480" w:lineRule="exact"/>
              <w:rPr>
                <w:kern w:val="11"/>
                <w:szCs w:val="21"/>
              </w:rPr>
            </w:pPr>
            <w:r>
              <w:rPr>
                <w:kern w:val="11"/>
                <w:szCs w:val="21"/>
              </w:rPr>
              <w:t>1）若投标人为国内注册的应提供有效的营业执照、组织机构代码、税务登记证复印件（已实施“三证合一”地区的投标人，只需提供有效的营业执照副本复印件）</w:t>
            </w:r>
            <w:r>
              <w:rPr>
                <w:rFonts w:hint="eastAsia"/>
                <w:kern w:val="11"/>
                <w:szCs w:val="21"/>
              </w:rPr>
              <w:t>；</w:t>
            </w:r>
          </w:p>
          <w:p>
            <w:pPr>
              <w:snapToGrid w:val="0"/>
              <w:spacing w:line="480" w:lineRule="exact"/>
              <w:rPr>
                <w:kern w:val="11"/>
                <w:szCs w:val="21"/>
              </w:rPr>
            </w:pPr>
            <w:r>
              <w:rPr>
                <w:rFonts w:hint="eastAsia"/>
                <w:kern w:val="11"/>
                <w:szCs w:val="21"/>
              </w:rPr>
              <w:t>2</w:t>
            </w:r>
            <w:r>
              <w:rPr>
                <w:kern w:val="11"/>
                <w:szCs w:val="21"/>
              </w:rPr>
              <w:t>）</w:t>
            </w:r>
            <w:r>
              <w:rPr>
                <w:rFonts w:hint="eastAsia"/>
                <w:kern w:val="11"/>
                <w:szCs w:val="21"/>
              </w:rPr>
              <w:t>投标产品为医疗器械的，</w:t>
            </w:r>
            <w:r>
              <w:rPr>
                <w:rFonts w:hint="eastAsia"/>
                <w:color w:val="FF0000"/>
                <w:kern w:val="11"/>
                <w:szCs w:val="21"/>
              </w:rPr>
              <w:t>若为制造商，所投产品属第一类医疗器械的须提供制造商的《第一类医疗器械生产备案凭证》，属第二类、第三类医疗器械的须提供制造商的《医疗器械生产许可证》（国外制造商除外）；若为经销商，所投产品属第二类医疗器械的须提供经销商的《第二类医疗器械经营备案凭证》，属第三类医疗器械的须提供经销商的《医疗器械经营许可证》。</w:t>
            </w:r>
            <w:r>
              <w:rPr>
                <w:rFonts w:hint="eastAsia"/>
                <w:kern w:val="11"/>
                <w:szCs w:val="21"/>
              </w:rPr>
              <w:t>投标产品须符合《医疗器械注册与备案管理办法》要求并提供中华人民共和国医疗器械注册证和注册登记表或备案凭证，投标人须符合《医疗器械监督管理条例》要求并提供医疗器械生产或经营企业许可证（以上证明资料提供复印件加盖公章）；</w:t>
            </w:r>
          </w:p>
          <w:p>
            <w:pPr>
              <w:snapToGrid w:val="0"/>
              <w:spacing w:line="480" w:lineRule="exact"/>
              <w:rPr>
                <w:kern w:val="11"/>
                <w:szCs w:val="21"/>
              </w:rPr>
            </w:pPr>
            <w:r>
              <w:rPr>
                <w:rFonts w:hint="eastAsia"/>
                <w:kern w:val="11"/>
                <w:szCs w:val="21"/>
              </w:rPr>
              <w:t>3）第一册 第四章 格式Ⅳ-9.中的相关文件；</w:t>
            </w:r>
          </w:p>
          <w:p>
            <w:pPr>
              <w:snapToGrid w:val="0"/>
              <w:spacing w:line="480" w:lineRule="exact"/>
            </w:pPr>
            <w:r>
              <w:rPr>
                <w:rFonts w:hint="eastAsia"/>
              </w:rPr>
              <w:t>4）</w:t>
            </w:r>
            <w:r>
              <w:rPr>
                <w:rFonts w:hint="eastAsia"/>
                <w:kern w:val="11"/>
                <w:szCs w:val="21"/>
              </w:rPr>
              <w:t>第一册 第四章 格式Ⅳ-10中的</w:t>
            </w:r>
            <w:r>
              <w:rPr>
                <w:rFonts w:hint="eastAsia"/>
              </w:rPr>
              <w:t>项目采购工作廉洁自律承诺书；</w:t>
            </w:r>
          </w:p>
          <w:p>
            <w:pPr>
              <w:snapToGrid w:val="0"/>
              <w:spacing w:line="480" w:lineRule="exact"/>
              <w:rPr>
                <w:rFonts w:hint="eastAsia"/>
                <w:color w:val="000000" w:themeColor="text1"/>
                <w:kern w:val="11"/>
                <w:szCs w:val="21"/>
                <w:highlight w:val="none"/>
                <w14:textFill>
                  <w14:solidFill>
                    <w14:schemeClr w14:val="tx1"/>
                  </w14:solidFill>
                </w14:textFill>
              </w:rPr>
            </w:pPr>
            <w:r>
              <w:rPr>
                <w:rFonts w:hint="eastAsia"/>
                <w:color w:val="000000" w:themeColor="text1"/>
                <w:kern w:val="11"/>
                <w:szCs w:val="21"/>
                <w:highlight w:val="none"/>
                <w14:textFill>
                  <w14:solidFill>
                    <w14:schemeClr w14:val="tx1"/>
                  </w14:solidFill>
                </w14:textFill>
              </w:rPr>
              <w:t>5）</w:t>
            </w:r>
            <w:r>
              <w:rPr>
                <w:color w:val="000000" w:themeColor="text1"/>
                <w:kern w:val="11"/>
                <w:szCs w:val="21"/>
                <w:highlight w:val="none"/>
                <w14:textFill>
                  <w14:solidFill>
                    <w14:schemeClr w14:val="tx1"/>
                  </w14:solidFill>
                </w14:textFill>
              </w:rPr>
              <w:t>若投标人为国内注册的</w:t>
            </w:r>
            <w:r>
              <w:rPr>
                <w:rFonts w:hint="eastAsia"/>
                <w:color w:val="000000" w:themeColor="text1"/>
                <w:kern w:val="11"/>
                <w:szCs w:val="21"/>
                <w:highlight w:val="none"/>
                <w14:textFill>
                  <w14:solidFill>
                    <w14:schemeClr w14:val="tx1"/>
                  </w14:solidFill>
                </w14:textFill>
              </w:rPr>
              <w:t>应满足政府采购法第二十二条供应商应当具备的条件（提供第一册 第四章 格式Ⅳ-11中承诺函）；</w:t>
            </w:r>
          </w:p>
          <w:p>
            <w:pPr>
              <w:snapToGrid w:val="0"/>
              <w:spacing w:line="480" w:lineRule="exact"/>
              <w:rPr>
                <w:rFonts w:hint="eastAsia" w:eastAsia="宋体"/>
                <w:highlight w:val="none"/>
                <w:lang w:eastAsia="zh-CN"/>
              </w:rPr>
            </w:pPr>
            <w:r>
              <w:rPr>
                <w:rFonts w:hint="eastAsia"/>
                <w:color w:val="000000" w:themeColor="text1"/>
                <w:kern w:val="11"/>
                <w:szCs w:val="21"/>
                <w:highlight w:val="none"/>
                <w:lang w:val="en-US" w:eastAsia="zh-CN"/>
                <w14:textFill>
                  <w14:solidFill>
                    <w14:schemeClr w14:val="tx1"/>
                  </w14:solidFill>
                </w14:textFill>
              </w:rPr>
              <w:t>6</w:t>
            </w:r>
            <w:r>
              <w:rPr>
                <w:rFonts w:hint="eastAsia"/>
                <w:color w:val="000000" w:themeColor="text1"/>
                <w:kern w:val="11"/>
                <w:szCs w:val="21"/>
                <w:highlight w:val="none"/>
                <w:lang w:eastAsia="zh-CN"/>
                <w14:textFill>
                  <w14:solidFill>
                    <w14:schemeClr w14:val="tx1"/>
                  </w14:solidFill>
                </w14:textFill>
              </w:rPr>
              <w:t>）</w:t>
            </w:r>
            <w:r>
              <w:rPr>
                <w:color w:val="000000" w:themeColor="text1"/>
                <w:kern w:val="11"/>
                <w:szCs w:val="21"/>
                <w:highlight w:val="none"/>
                <w14:textFill>
                  <w14:solidFill>
                    <w14:schemeClr w14:val="tx1"/>
                  </w14:solidFill>
                </w14:textFill>
              </w:rPr>
              <w:t>投标</w:t>
            </w:r>
            <w:r>
              <w:rPr>
                <w:rFonts w:ascii="Times New Roman" w:hAnsi="Times New Roman" w:eastAsia="宋体" w:cs="Times New Roman"/>
                <w:color w:val="000000" w:themeColor="text1"/>
                <w:kern w:val="11"/>
                <w:szCs w:val="21"/>
                <w:highlight w:val="none"/>
                <w14:textFill>
                  <w14:solidFill>
                    <w14:schemeClr w14:val="tx1"/>
                  </w14:solidFill>
                </w14:textFill>
              </w:rPr>
              <w:t>人</w:t>
            </w:r>
            <w:r>
              <w:rPr>
                <w:rFonts w:hint="eastAsia" w:ascii="Times New Roman" w:hAnsi="Times New Roman" w:eastAsia="宋体" w:cs="Times New Roman"/>
                <w:color w:val="000000" w:themeColor="text1"/>
                <w:kern w:val="11"/>
                <w:szCs w:val="21"/>
                <w:highlight w:val="none"/>
                <w:lang w:val="zh-CN"/>
                <w14:textFill>
                  <w14:solidFill>
                    <w14:schemeClr w14:val="tx1"/>
                  </w14:solidFill>
                </w14:textFill>
              </w:rPr>
              <w:t>与参与本项目的供应商之间，单位负责人不为同一人，也不存在直接控股、管理关系的承诺书</w:t>
            </w:r>
            <w:r>
              <w:rPr>
                <w:rFonts w:hint="eastAsia" w:ascii="Times New Roman" w:hAnsi="Times New Roman" w:eastAsia="宋体" w:cs="Times New Roman"/>
                <w:color w:val="000000" w:themeColor="text1"/>
                <w:kern w:val="11"/>
                <w:szCs w:val="21"/>
                <w:highlight w:val="none"/>
                <w14:textFill>
                  <w14:solidFill>
                    <w14:schemeClr w14:val="tx1"/>
                  </w14:solidFill>
                </w14:textFill>
              </w:rPr>
              <w:t>（提供第一册 第四章 格式Ⅳ-1</w:t>
            </w:r>
            <w:r>
              <w:rPr>
                <w:rFonts w:hint="eastAsia" w:ascii="Times New Roman" w:hAnsi="Times New Roman" w:eastAsia="宋体" w:cs="Times New Roman"/>
                <w:color w:val="000000" w:themeColor="text1"/>
                <w:kern w:val="11"/>
                <w:szCs w:val="21"/>
                <w:highlight w:val="none"/>
                <w:lang w:val="en-US" w:eastAsia="zh-CN"/>
                <w14:textFill>
                  <w14:solidFill>
                    <w14:schemeClr w14:val="tx1"/>
                  </w14:solidFill>
                </w14:textFill>
              </w:rPr>
              <w:t>2</w:t>
            </w:r>
            <w:r>
              <w:rPr>
                <w:rFonts w:hint="eastAsia" w:ascii="Times New Roman" w:hAnsi="Times New Roman" w:eastAsia="宋体" w:cs="Times New Roman"/>
                <w:color w:val="000000" w:themeColor="text1"/>
                <w:kern w:val="11"/>
                <w:szCs w:val="21"/>
                <w:highlight w:val="none"/>
                <w14:textFill>
                  <w14:solidFill>
                    <w14:schemeClr w14:val="tx1"/>
                  </w14:solidFill>
                </w14:textFill>
              </w:rPr>
              <w:t>中承诺函）</w:t>
            </w:r>
            <w:r>
              <w:rPr>
                <w:rFonts w:hint="eastAsia"/>
                <w:color w:val="000000" w:themeColor="text1"/>
                <w:kern w:val="11"/>
                <w:szCs w:val="21"/>
                <w:highlight w:val="none"/>
                <w14:textFill>
                  <w14:solidFill>
                    <w14:schemeClr w14:val="tx1"/>
                  </w14:solidFill>
                </w14:textFill>
              </w:rPr>
              <w:t>；</w:t>
            </w:r>
          </w:p>
          <w:p>
            <w:pPr>
              <w:snapToGrid w:val="0"/>
              <w:spacing w:line="480" w:lineRule="exact"/>
              <w:rPr>
                <w:kern w:val="11"/>
                <w:szCs w:val="21"/>
              </w:rPr>
            </w:pPr>
            <w:r>
              <w:rPr>
                <w:rFonts w:hint="eastAsia"/>
                <w:kern w:val="11"/>
                <w:szCs w:val="21"/>
                <w:highlight w:val="none"/>
                <w:lang w:val="en-US" w:eastAsia="zh-CN"/>
              </w:rPr>
              <w:t>7</w:t>
            </w:r>
            <w:r>
              <w:rPr>
                <w:rFonts w:hint="eastAsia"/>
                <w:kern w:val="11"/>
                <w:szCs w:val="21"/>
                <w:highlight w:val="none"/>
              </w:rPr>
              <w:t>）证明投标人能符合第八章里规定的其他资格、服务条件和业绩要求</w:t>
            </w:r>
            <w:r>
              <w:rPr>
                <w:rFonts w:hint="eastAsia"/>
                <w:kern w:val="11"/>
                <w:szCs w:val="21"/>
              </w:rPr>
              <w:t>的各种文件。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436" w:hRule="atLeast"/>
        </w:trPr>
        <w:tc>
          <w:tcPr>
            <w:tcW w:w="1161" w:type="dxa"/>
            <w:noWrap/>
            <w:vAlign w:val="center"/>
          </w:tcPr>
          <w:p>
            <w:pPr>
              <w:spacing w:line="500" w:lineRule="exact"/>
              <w:jc w:val="center"/>
              <w:rPr>
                <w:kern w:val="11"/>
                <w:szCs w:val="21"/>
              </w:rPr>
            </w:pPr>
            <w:r>
              <w:rPr>
                <w:kern w:val="11"/>
                <w:szCs w:val="21"/>
              </w:rPr>
              <w:t>14.3</w:t>
            </w:r>
          </w:p>
        </w:tc>
        <w:tc>
          <w:tcPr>
            <w:tcW w:w="7781" w:type="dxa"/>
            <w:noWrap/>
            <w:vAlign w:val="center"/>
          </w:tcPr>
          <w:p>
            <w:pPr>
              <w:snapToGrid w:val="0"/>
              <w:spacing w:line="500" w:lineRule="exact"/>
              <w:rPr>
                <w:kern w:val="11"/>
                <w:szCs w:val="21"/>
              </w:rPr>
            </w:pPr>
            <w:r>
              <w:rPr>
                <w:kern w:val="11"/>
                <w:szCs w:val="21"/>
              </w:rPr>
              <w:t>投标人对</w:t>
            </w:r>
            <w:r>
              <w:rPr>
                <w:rFonts w:hint="eastAsia"/>
                <w:kern w:val="11"/>
                <w:szCs w:val="21"/>
              </w:rPr>
              <w:t>加注符号（“★”）的重要技术条款或技术参数必须按照招标文件要求在投标文件中提供技术支持资料。技术支持资料以投标货物制造商公开发布的产品图册印刷资料或投标货物制造商出具的原厂技术白皮书（投标时须同时针对技术参数的佐证点翻译成中文，无需全文翻译）或检测机构出具的检测报告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7" w:hRule="atLeast"/>
        </w:trPr>
        <w:tc>
          <w:tcPr>
            <w:tcW w:w="1161" w:type="dxa"/>
            <w:noWrap/>
            <w:vAlign w:val="center"/>
          </w:tcPr>
          <w:p>
            <w:pPr>
              <w:spacing w:line="500" w:lineRule="exact"/>
              <w:jc w:val="center"/>
              <w:rPr>
                <w:kern w:val="11"/>
                <w:szCs w:val="21"/>
              </w:rPr>
            </w:pPr>
            <w:r>
              <w:rPr>
                <w:kern w:val="11"/>
                <w:szCs w:val="21"/>
              </w:rPr>
              <w:t>15.1</w:t>
            </w:r>
          </w:p>
        </w:tc>
        <w:tc>
          <w:tcPr>
            <w:tcW w:w="7781" w:type="dxa"/>
            <w:noWrap/>
            <w:vAlign w:val="center"/>
          </w:tcPr>
          <w:p>
            <w:pPr>
              <w:snapToGrid w:val="0"/>
              <w:spacing w:line="500" w:lineRule="exact"/>
              <w:rPr>
                <w:kern w:val="0"/>
                <w:szCs w:val="21"/>
              </w:rPr>
            </w:pPr>
            <w:r>
              <w:rPr>
                <w:kern w:val="0"/>
                <w:szCs w:val="21"/>
              </w:rPr>
              <w:t>投标保证金金额：￥</w:t>
            </w:r>
            <w:r>
              <w:rPr>
                <w:rFonts w:hint="eastAsia"/>
                <w:kern w:val="0"/>
                <w:szCs w:val="21"/>
              </w:rPr>
              <w:t>20000.00</w:t>
            </w:r>
            <w:r>
              <w:rPr>
                <w:kern w:val="0"/>
                <w:szCs w:val="21"/>
              </w:rPr>
              <w:t>元。投标保证金有效期应当与投标有效期一致。</w:t>
            </w:r>
          </w:p>
          <w:p>
            <w:pPr>
              <w:snapToGrid w:val="0"/>
              <w:spacing w:line="500" w:lineRule="exact"/>
              <w:rPr>
                <w:kern w:val="0"/>
                <w:szCs w:val="21"/>
              </w:rPr>
            </w:pPr>
            <w:r>
              <w:rPr>
                <w:kern w:val="0"/>
                <w:szCs w:val="21"/>
              </w:rPr>
              <w:t>投标保证金截止时间：与开标时间一致。</w:t>
            </w:r>
          </w:p>
          <w:p>
            <w:pPr>
              <w:snapToGrid w:val="0"/>
              <w:spacing w:line="500" w:lineRule="exact"/>
              <w:rPr>
                <w:kern w:val="0"/>
                <w:szCs w:val="21"/>
              </w:rPr>
            </w:pPr>
            <w:r>
              <w:rPr>
                <w:rFonts w:hint="eastAsia"/>
                <w:kern w:val="0"/>
                <w:szCs w:val="21"/>
              </w:rPr>
              <w:t>账户名称：海南政坤招标代理有限公司</w:t>
            </w:r>
          </w:p>
          <w:p>
            <w:pPr>
              <w:snapToGrid w:val="0"/>
              <w:spacing w:line="500" w:lineRule="exact"/>
              <w:rPr>
                <w:kern w:val="0"/>
                <w:szCs w:val="21"/>
              </w:rPr>
            </w:pPr>
            <w:r>
              <w:rPr>
                <w:rFonts w:hint="eastAsia"/>
                <w:kern w:val="0"/>
                <w:szCs w:val="21"/>
              </w:rPr>
              <w:t>开 户 行：海口农村商业银行股份有限公司国兴支行</w:t>
            </w:r>
          </w:p>
          <w:p>
            <w:pPr>
              <w:snapToGrid w:val="0"/>
              <w:spacing w:line="500" w:lineRule="exact"/>
              <w:rPr>
                <w:kern w:val="0"/>
                <w:szCs w:val="21"/>
              </w:rPr>
            </w:pPr>
            <w:r>
              <w:rPr>
                <w:rFonts w:hint="eastAsia"/>
                <w:kern w:val="0"/>
                <w:szCs w:val="21"/>
              </w:rPr>
              <w:t>账    号：1011 0869 0000 0146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87" w:hRule="atLeast"/>
        </w:trPr>
        <w:tc>
          <w:tcPr>
            <w:tcW w:w="1161" w:type="dxa"/>
            <w:noWrap/>
            <w:vAlign w:val="center"/>
          </w:tcPr>
          <w:p>
            <w:pPr>
              <w:spacing w:line="500" w:lineRule="exact"/>
              <w:jc w:val="center"/>
              <w:rPr>
                <w:kern w:val="11"/>
                <w:szCs w:val="21"/>
              </w:rPr>
            </w:pPr>
            <w:r>
              <w:rPr>
                <w:kern w:val="11"/>
                <w:szCs w:val="21"/>
              </w:rPr>
              <w:t>15.3</w:t>
            </w:r>
          </w:p>
        </w:tc>
        <w:tc>
          <w:tcPr>
            <w:tcW w:w="7781" w:type="dxa"/>
            <w:noWrap/>
            <w:vAlign w:val="center"/>
          </w:tcPr>
          <w:p>
            <w:pPr>
              <w:snapToGrid w:val="0"/>
              <w:spacing w:line="500" w:lineRule="exact"/>
              <w:rPr>
                <w:kern w:val="11"/>
                <w:szCs w:val="21"/>
              </w:rPr>
            </w:pPr>
            <w:r>
              <w:rPr>
                <w:kern w:val="11"/>
                <w:szCs w:val="21"/>
              </w:rPr>
              <w:t>投标保证金递交方式：投标保证金以</w:t>
            </w:r>
            <w:r>
              <w:rPr>
                <w:rFonts w:hint="eastAsia"/>
                <w:kern w:val="11"/>
                <w:szCs w:val="21"/>
              </w:rPr>
              <w:t>投标保函或</w:t>
            </w:r>
            <w:r>
              <w:rPr>
                <w:kern w:val="11"/>
                <w:szCs w:val="21"/>
              </w:rPr>
              <w:t>银行转帐形式（请注明项目名称及包号）。所有递交方式均以到帐时间为准。未中标人的投标保证金，将在中标通知书发出后5个工作日内全额退还</w:t>
            </w:r>
            <w:r>
              <w:rPr>
                <w:rFonts w:hint="eastAsia"/>
                <w:kern w:val="11"/>
                <w:szCs w:val="21"/>
              </w:rPr>
              <w:t>，中标人的投标保证金，将在中标人与招标人签订采购合同后5个工作日内退还</w:t>
            </w:r>
            <w:r>
              <w:rPr>
                <w:kern w:val="11"/>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161" w:type="dxa"/>
            <w:noWrap/>
            <w:vAlign w:val="center"/>
          </w:tcPr>
          <w:p>
            <w:pPr>
              <w:spacing w:line="500" w:lineRule="exact"/>
              <w:jc w:val="center"/>
              <w:rPr>
                <w:kern w:val="11"/>
                <w:szCs w:val="21"/>
              </w:rPr>
            </w:pPr>
            <w:r>
              <w:rPr>
                <w:sz w:val="24"/>
                <w:szCs w:val="24"/>
              </w:rPr>
              <w:t>★</w:t>
            </w:r>
            <w:r>
              <w:rPr>
                <w:kern w:val="11"/>
                <w:szCs w:val="21"/>
              </w:rPr>
              <w:t>16.1</w:t>
            </w:r>
          </w:p>
        </w:tc>
        <w:tc>
          <w:tcPr>
            <w:tcW w:w="7781" w:type="dxa"/>
            <w:noWrap/>
            <w:vAlign w:val="center"/>
          </w:tcPr>
          <w:p>
            <w:pPr>
              <w:snapToGrid w:val="0"/>
              <w:spacing w:line="500" w:lineRule="exact"/>
              <w:rPr>
                <w:kern w:val="11"/>
                <w:szCs w:val="21"/>
              </w:rPr>
            </w:pPr>
            <w:r>
              <w:rPr>
                <w:kern w:val="11"/>
                <w:szCs w:val="21"/>
              </w:rPr>
              <w:t>投标有效期：90天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5" w:hRule="atLeast"/>
        </w:trPr>
        <w:tc>
          <w:tcPr>
            <w:tcW w:w="1161" w:type="dxa"/>
            <w:noWrap/>
            <w:vAlign w:val="center"/>
          </w:tcPr>
          <w:p>
            <w:pPr>
              <w:spacing w:line="500" w:lineRule="exact"/>
              <w:jc w:val="center"/>
              <w:rPr>
                <w:kern w:val="11"/>
                <w:szCs w:val="21"/>
              </w:rPr>
            </w:pPr>
            <w:r>
              <w:rPr>
                <w:kern w:val="11"/>
                <w:szCs w:val="21"/>
              </w:rPr>
              <w:t>17.1</w:t>
            </w:r>
          </w:p>
        </w:tc>
        <w:tc>
          <w:tcPr>
            <w:tcW w:w="7781" w:type="dxa"/>
            <w:noWrap/>
            <w:vAlign w:val="center"/>
          </w:tcPr>
          <w:p>
            <w:pPr>
              <w:snapToGrid w:val="0"/>
              <w:spacing w:line="500" w:lineRule="exact"/>
              <w:rPr>
                <w:kern w:val="11"/>
                <w:szCs w:val="21"/>
              </w:rPr>
            </w:pPr>
            <w:r>
              <w:rPr>
                <w:kern w:val="11"/>
                <w:szCs w:val="21"/>
              </w:rPr>
              <w:t>投标文件的数量：</w:t>
            </w:r>
          </w:p>
          <w:p>
            <w:pPr>
              <w:snapToGrid w:val="0"/>
              <w:spacing w:line="500" w:lineRule="exact"/>
              <w:rPr>
                <w:kern w:val="11"/>
                <w:szCs w:val="21"/>
              </w:rPr>
            </w:pPr>
            <w:r>
              <w:rPr>
                <w:kern w:val="11"/>
                <w:szCs w:val="21"/>
              </w:rPr>
              <w:t>正本文件1份，副本文件4份，以及</w:t>
            </w:r>
            <w:r>
              <w:rPr>
                <w:rFonts w:hint="eastAsia"/>
                <w:kern w:val="11"/>
                <w:szCs w:val="21"/>
              </w:rPr>
              <w:t>1</w:t>
            </w:r>
            <w:r>
              <w:rPr>
                <w:kern w:val="11"/>
                <w:szCs w:val="21"/>
              </w:rPr>
              <w:t>份电子</w:t>
            </w:r>
            <w:r>
              <w:rPr>
                <w:rFonts w:hint="eastAsia"/>
                <w:kern w:val="11"/>
                <w:szCs w:val="21"/>
              </w:rPr>
              <w:t>版本</w:t>
            </w:r>
            <w:r>
              <w:rPr>
                <w:rFonts w:hint="eastAsia"/>
                <w:b/>
                <w:bCs/>
                <w:kern w:val="11"/>
                <w:szCs w:val="21"/>
              </w:rPr>
              <w:t>（</w:t>
            </w:r>
            <w:r>
              <w:rPr>
                <w:rFonts w:hint="eastAsia"/>
                <w:b/>
                <w:bCs/>
                <w:color w:val="C00000"/>
                <w:kern w:val="11"/>
                <w:szCs w:val="21"/>
              </w:rPr>
              <w:t>提交和正本一致的PDF格式</w:t>
            </w:r>
            <w:r>
              <w:rPr>
                <w:rFonts w:hint="eastAsia"/>
                <w:b/>
                <w:bCs/>
                <w:kern w:val="11"/>
                <w:szCs w:val="21"/>
              </w:rPr>
              <w:t>）</w:t>
            </w:r>
            <w:r>
              <w:rPr>
                <w:rFonts w:hint="eastAsia"/>
                <w:kern w:val="11"/>
                <w:szCs w:val="21"/>
              </w:rPr>
              <w:t>由光盘或U盘保存并标贴标记</w:t>
            </w:r>
            <w:r>
              <w:rPr>
                <w:kern w:val="11"/>
                <w:szCs w:val="21"/>
              </w:rPr>
              <w:t>。</w:t>
            </w:r>
          </w:p>
          <w:p>
            <w:pPr>
              <w:snapToGrid w:val="0"/>
              <w:spacing w:line="500" w:lineRule="exact"/>
              <w:rPr>
                <w:kern w:val="11"/>
                <w:szCs w:val="21"/>
              </w:rPr>
            </w:pPr>
            <w:r>
              <w:rPr>
                <w:kern w:val="11"/>
                <w:szCs w:val="21"/>
              </w:rPr>
              <w:t>副本与正本不符，以正本为准。当电子介质的投标文件与纸质投标文件不一致时，以纸质投标文件为准。所有文件必须胶装，不接受活页装订。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5" w:hRule="atLeast"/>
        </w:trPr>
        <w:tc>
          <w:tcPr>
            <w:tcW w:w="1161" w:type="dxa"/>
            <w:noWrap/>
            <w:vAlign w:val="center"/>
          </w:tcPr>
          <w:p>
            <w:pPr>
              <w:spacing w:line="500" w:lineRule="exact"/>
              <w:jc w:val="center"/>
              <w:rPr>
                <w:kern w:val="11"/>
                <w:szCs w:val="21"/>
              </w:rPr>
            </w:pPr>
            <w:r>
              <w:rPr>
                <w:kern w:val="11"/>
                <w:szCs w:val="21"/>
              </w:rPr>
              <w:t>17.2</w:t>
            </w:r>
          </w:p>
        </w:tc>
        <w:tc>
          <w:tcPr>
            <w:tcW w:w="7781" w:type="dxa"/>
            <w:noWrap/>
            <w:vAlign w:val="center"/>
          </w:tcPr>
          <w:p>
            <w:pPr>
              <w:snapToGrid w:val="0"/>
              <w:spacing w:line="500" w:lineRule="exact"/>
              <w:ind w:left="94" w:hanging="94" w:hangingChars="45"/>
              <w:rPr>
                <w:kern w:val="11"/>
                <w:szCs w:val="21"/>
              </w:rPr>
            </w:pPr>
            <w:r>
              <w:rPr>
                <w:kern w:val="11"/>
                <w:szCs w:val="21"/>
              </w:rPr>
              <w:t>投标文件的报价部分、重要商务和技术条款（参数）（加注“★”的条款或参数）响应等相应内容必须逐页小签。投标文件的副本应为正本的复印件。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4" w:hRule="atLeast"/>
        </w:trPr>
        <w:tc>
          <w:tcPr>
            <w:tcW w:w="8942" w:type="dxa"/>
            <w:gridSpan w:val="2"/>
            <w:noWrap/>
            <w:vAlign w:val="center"/>
          </w:tcPr>
          <w:p>
            <w:pPr>
              <w:snapToGrid w:val="0"/>
              <w:spacing w:line="500" w:lineRule="exact"/>
              <w:jc w:val="center"/>
              <w:rPr>
                <w:kern w:val="11"/>
                <w:szCs w:val="21"/>
              </w:rPr>
            </w:pPr>
            <w:r>
              <w:rPr>
                <w:kern w:val="11"/>
                <w:szCs w:val="21"/>
              </w:rPr>
              <w:t>四．投标文件的递交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564" w:hRule="atLeast"/>
        </w:trPr>
        <w:tc>
          <w:tcPr>
            <w:tcW w:w="1161" w:type="dxa"/>
            <w:tcBorders>
              <w:right w:val="single" w:color="auto" w:sz="4" w:space="0"/>
            </w:tcBorders>
            <w:noWrap/>
            <w:vAlign w:val="center"/>
          </w:tcPr>
          <w:p>
            <w:pPr>
              <w:snapToGrid w:val="0"/>
              <w:spacing w:line="500" w:lineRule="exact"/>
              <w:jc w:val="center"/>
              <w:rPr>
                <w:szCs w:val="21"/>
              </w:rPr>
            </w:pPr>
            <w:r>
              <w:rPr>
                <w:kern w:val="11"/>
                <w:szCs w:val="21"/>
              </w:rPr>
              <w:t>18.1</w:t>
            </w:r>
          </w:p>
        </w:tc>
        <w:tc>
          <w:tcPr>
            <w:tcW w:w="7781" w:type="dxa"/>
            <w:tcBorders>
              <w:left w:val="single" w:color="auto" w:sz="4" w:space="0"/>
            </w:tcBorders>
            <w:noWrap/>
            <w:vAlign w:val="center"/>
          </w:tcPr>
          <w:p>
            <w:pPr>
              <w:snapToGrid w:val="0"/>
              <w:spacing w:line="500" w:lineRule="exact"/>
              <w:ind w:left="94" w:hanging="94" w:hangingChars="45"/>
              <w:rPr>
                <w:kern w:val="11"/>
                <w:szCs w:val="21"/>
              </w:rPr>
            </w:pPr>
            <w:r>
              <w:rPr>
                <w:kern w:val="11"/>
                <w:szCs w:val="21"/>
              </w:rPr>
              <w:t>投标文件的密封：</w:t>
            </w:r>
          </w:p>
          <w:p>
            <w:pPr>
              <w:snapToGrid w:val="0"/>
              <w:spacing w:line="500" w:lineRule="exact"/>
              <w:ind w:left="94" w:hanging="94" w:hangingChars="45"/>
              <w:rPr>
                <w:kern w:val="11"/>
                <w:szCs w:val="21"/>
              </w:rPr>
            </w:pPr>
            <w:r>
              <w:rPr>
                <w:kern w:val="11"/>
                <w:szCs w:val="21"/>
              </w:rPr>
              <w:t>1）投标文件正本文件</w:t>
            </w:r>
            <w:r>
              <w:rPr>
                <w:rFonts w:hint="eastAsia"/>
                <w:kern w:val="11"/>
                <w:szCs w:val="21"/>
              </w:rPr>
              <w:t>、</w:t>
            </w:r>
            <w:r>
              <w:rPr>
                <w:kern w:val="11"/>
                <w:szCs w:val="21"/>
              </w:rPr>
              <w:t>副本文件</w:t>
            </w:r>
            <w:r>
              <w:rPr>
                <w:rFonts w:hint="eastAsia"/>
                <w:kern w:val="11"/>
                <w:szCs w:val="21"/>
              </w:rPr>
              <w:t>、</w:t>
            </w:r>
            <w:r>
              <w:rPr>
                <w:kern w:val="11"/>
                <w:szCs w:val="21"/>
              </w:rPr>
              <w:t>电子版本</w:t>
            </w:r>
            <w:r>
              <w:rPr>
                <w:rFonts w:hint="eastAsia"/>
                <w:kern w:val="11"/>
                <w:szCs w:val="21"/>
              </w:rPr>
              <w:t>一起</w:t>
            </w:r>
            <w:r>
              <w:rPr>
                <w:kern w:val="11"/>
                <w:szCs w:val="21"/>
              </w:rPr>
              <w:t>密封，并在密封件启封处加盖公章。</w:t>
            </w:r>
          </w:p>
          <w:p>
            <w:pPr>
              <w:snapToGrid w:val="0"/>
              <w:spacing w:line="500" w:lineRule="exact"/>
              <w:ind w:left="-2" w:leftChars="-1" w:firstLine="2" w:firstLineChars="1"/>
              <w:rPr>
                <w:szCs w:val="21"/>
              </w:rPr>
            </w:pPr>
            <w:r>
              <w:rPr>
                <w:kern w:val="11"/>
                <w:szCs w:val="21"/>
              </w:rPr>
              <w:t>2）投标人在投标时请另备一个信封将“开标一览表</w:t>
            </w:r>
            <w:r>
              <w:rPr>
                <w:rFonts w:hint="eastAsia"/>
                <w:kern w:val="11"/>
                <w:szCs w:val="21"/>
              </w:rPr>
              <w:t>、</w:t>
            </w:r>
            <w:r>
              <w:rPr>
                <w:kern w:val="11"/>
                <w:szCs w:val="21"/>
              </w:rPr>
              <w:t>投标保证金证明文件</w:t>
            </w:r>
            <w:r>
              <w:rPr>
                <w:rFonts w:hint="eastAsia"/>
                <w:kern w:val="11"/>
                <w:szCs w:val="21"/>
              </w:rPr>
              <w:t>和项目采购工作廉洁自律承诺书（两份）</w:t>
            </w:r>
            <w:r>
              <w:rPr>
                <w:kern w:val="11"/>
                <w:szCs w:val="21"/>
              </w:rPr>
              <w:t>”单独装入</w:t>
            </w:r>
            <w:r>
              <w:rPr>
                <w:rFonts w:hint="eastAsia"/>
                <w:kern w:val="11"/>
                <w:szCs w:val="21"/>
              </w:rPr>
              <w:t>，密封完好并在</w:t>
            </w:r>
            <w:r>
              <w:rPr>
                <w:kern w:val="11"/>
                <w:szCs w:val="21"/>
              </w:rPr>
              <w:t>密封件</w:t>
            </w:r>
            <w:r>
              <w:rPr>
                <w:rFonts w:hint="eastAsia"/>
                <w:kern w:val="11"/>
                <w:szCs w:val="21"/>
              </w:rPr>
              <w:t>启封处加盖公章。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161" w:type="dxa"/>
            <w:noWrap/>
            <w:vAlign w:val="center"/>
          </w:tcPr>
          <w:p>
            <w:pPr>
              <w:spacing w:line="500" w:lineRule="exact"/>
              <w:jc w:val="center"/>
              <w:rPr>
                <w:kern w:val="11"/>
                <w:szCs w:val="21"/>
              </w:rPr>
            </w:pPr>
            <w:r>
              <w:rPr>
                <w:kern w:val="11"/>
                <w:szCs w:val="21"/>
              </w:rPr>
              <w:t>19.1</w:t>
            </w:r>
          </w:p>
        </w:tc>
        <w:tc>
          <w:tcPr>
            <w:tcW w:w="7781" w:type="dxa"/>
            <w:noWrap/>
            <w:vAlign w:val="center"/>
          </w:tcPr>
          <w:p>
            <w:pPr>
              <w:spacing w:line="500" w:lineRule="exact"/>
              <w:ind w:left="6" w:leftChars="3"/>
              <w:rPr>
                <w:kern w:val="11"/>
                <w:szCs w:val="21"/>
                <w:highlight w:val="none"/>
              </w:rPr>
            </w:pPr>
            <w:r>
              <w:rPr>
                <w:kern w:val="11"/>
                <w:szCs w:val="21"/>
                <w:highlight w:val="none"/>
              </w:rPr>
              <w:t>投标截止时间：</w:t>
            </w:r>
            <w:r>
              <w:rPr>
                <w:rFonts w:hint="eastAsia"/>
                <w:kern w:val="11"/>
                <w:szCs w:val="21"/>
                <w:highlight w:val="none"/>
              </w:rPr>
              <w:t>202</w:t>
            </w:r>
            <w:r>
              <w:rPr>
                <w:rFonts w:hint="eastAsia"/>
                <w:kern w:val="11"/>
                <w:szCs w:val="21"/>
                <w:highlight w:val="none"/>
                <w:lang w:val="en-US" w:eastAsia="zh-CN"/>
              </w:rPr>
              <w:t>4</w:t>
            </w:r>
            <w:r>
              <w:rPr>
                <w:rFonts w:hint="eastAsia"/>
                <w:kern w:val="11"/>
                <w:szCs w:val="21"/>
                <w:highlight w:val="none"/>
              </w:rPr>
              <w:t>年</w:t>
            </w:r>
            <w:r>
              <w:rPr>
                <w:rFonts w:hint="eastAsia"/>
                <w:kern w:val="11"/>
                <w:szCs w:val="21"/>
                <w:highlight w:val="none"/>
                <w:lang w:val="en-US" w:eastAsia="zh-CN"/>
              </w:rPr>
              <w:t>05</w:t>
            </w:r>
            <w:r>
              <w:rPr>
                <w:kern w:val="11"/>
                <w:szCs w:val="21"/>
                <w:highlight w:val="none"/>
              </w:rPr>
              <w:t>月</w:t>
            </w:r>
            <w:r>
              <w:rPr>
                <w:rFonts w:hint="eastAsia"/>
                <w:kern w:val="11"/>
                <w:szCs w:val="21"/>
                <w:highlight w:val="none"/>
                <w:lang w:val="en-US" w:eastAsia="zh-CN"/>
              </w:rPr>
              <w:t>15</w:t>
            </w:r>
            <w:r>
              <w:rPr>
                <w:kern w:val="11"/>
                <w:szCs w:val="21"/>
                <w:highlight w:val="none"/>
              </w:rPr>
              <w:t>日</w:t>
            </w:r>
            <w:r>
              <w:rPr>
                <w:rFonts w:hint="eastAsia"/>
                <w:kern w:val="11"/>
                <w:szCs w:val="21"/>
                <w:highlight w:val="none"/>
              </w:rPr>
              <w:t>09</w:t>
            </w:r>
            <w:r>
              <w:rPr>
                <w:kern w:val="11"/>
                <w:szCs w:val="21"/>
                <w:highlight w:val="none"/>
              </w:rPr>
              <w:t>时</w:t>
            </w:r>
            <w:r>
              <w:rPr>
                <w:rFonts w:hint="eastAsia"/>
                <w:kern w:val="11"/>
                <w:szCs w:val="21"/>
                <w:highlight w:val="none"/>
              </w:rPr>
              <w:t>30</w:t>
            </w:r>
            <w:r>
              <w:rPr>
                <w:kern w:val="11"/>
                <w:szCs w:val="21"/>
                <w:highlight w:val="none"/>
              </w:rPr>
              <w:t>分（北京时间）</w:t>
            </w:r>
          </w:p>
          <w:p>
            <w:pPr>
              <w:spacing w:line="500" w:lineRule="exact"/>
              <w:ind w:left="6" w:leftChars="3"/>
              <w:rPr>
                <w:kern w:val="11"/>
                <w:szCs w:val="21"/>
                <w:highlight w:val="none"/>
              </w:rPr>
            </w:pPr>
            <w:r>
              <w:rPr>
                <w:kern w:val="11"/>
                <w:szCs w:val="21"/>
                <w:highlight w:val="none"/>
              </w:rPr>
              <w:t>投标地点：</w:t>
            </w:r>
            <w:r>
              <w:rPr>
                <w:rFonts w:hint="eastAsia"/>
                <w:kern w:val="11"/>
                <w:szCs w:val="21"/>
                <w:highlight w:val="none"/>
              </w:rPr>
              <w:t>海南政坤招标代理有限公司（海口市美兰区蓝天路名门广场北区A座1905室）</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8942" w:type="dxa"/>
            <w:gridSpan w:val="2"/>
            <w:noWrap/>
            <w:vAlign w:val="center"/>
          </w:tcPr>
          <w:p>
            <w:pPr>
              <w:snapToGrid w:val="0"/>
              <w:spacing w:line="500" w:lineRule="exact"/>
              <w:jc w:val="center"/>
              <w:rPr>
                <w:kern w:val="11"/>
                <w:szCs w:val="21"/>
              </w:rPr>
            </w:pPr>
            <w:r>
              <w:rPr>
                <w:kern w:val="11"/>
                <w:szCs w:val="21"/>
              </w:rPr>
              <w:t>五．开标与评标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1161" w:type="dxa"/>
            <w:noWrap/>
            <w:vAlign w:val="center"/>
          </w:tcPr>
          <w:p>
            <w:pPr>
              <w:spacing w:line="500" w:lineRule="exact"/>
              <w:jc w:val="center"/>
              <w:rPr>
                <w:kern w:val="11"/>
                <w:szCs w:val="21"/>
              </w:rPr>
            </w:pPr>
            <w:r>
              <w:rPr>
                <w:kern w:val="11"/>
                <w:szCs w:val="21"/>
              </w:rPr>
              <w:t>22.1</w:t>
            </w:r>
          </w:p>
        </w:tc>
        <w:tc>
          <w:tcPr>
            <w:tcW w:w="7781" w:type="dxa"/>
            <w:noWrap/>
            <w:vAlign w:val="center"/>
          </w:tcPr>
          <w:p>
            <w:pPr>
              <w:spacing w:line="500" w:lineRule="exact"/>
              <w:rPr>
                <w:kern w:val="11"/>
                <w:szCs w:val="21"/>
                <w:highlight w:val="none"/>
              </w:rPr>
            </w:pPr>
            <w:r>
              <w:rPr>
                <w:kern w:val="11"/>
                <w:szCs w:val="21"/>
                <w:highlight w:val="none"/>
              </w:rPr>
              <w:t>开标时间：</w:t>
            </w:r>
            <w:r>
              <w:rPr>
                <w:rFonts w:hint="eastAsia"/>
                <w:kern w:val="11"/>
                <w:szCs w:val="21"/>
                <w:highlight w:val="none"/>
              </w:rPr>
              <w:t>202</w:t>
            </w:r>
            <w:r>
              <w:rPr>
                <w:rFonts w:hint="eastAsia"/>
                <w:kern w:val="11"/>
                <w:szCs w:val="21"/>
                <w:highlight w:val="none"/>
                <w:lang w:val="en-US" w:eastAsia="zh-CN"/>
              </w:rPr>
              <w:t>4</w:t>
            </w:r>
            <w:r>
              <w:rPr>
                <w:rFonts w:hint="eastAsia"/>
                <w:kern w:val="11"/>
                <w:szCs w:val="21"/>
                <w:highlight w:val="none"/>
              </w:rPr>
              <w:t>年</w:t>
            </w:r>
            <w:r>
              <w:rPr>
                <w:rFonts w:hint="eastAsia"/>
                <w:kern w:val="11"/>
                <w:szCs w:val="21"/>
                <w:highlight w:val="none"/>
                <w:lang w:val="en-US" w:eastAsia="zh-CN"/>
              </w:rPr>
              <w:t>05</w:t>
            </w:r>
            <w:r>
              <w:rPr>
                <w:kern w:val="11"/>
                <w:szCs w:val="21"/>
                <w:highlight w:val="none"/>
              </w:rPr>
              <w:t>月</w:t>
            </w:r>
            <w:r>
              <w:rPr>
                <w:rFonts w:hint="eastAsia"/>
                <w:kern w:val="11"/>
                <w:szCs w:val="21"/>
                <w:highlight w:val="none"/>
                <w:lang w:val="en-US" w:eastAsia="zh-CN"/>
              </w:rPr>
              <w:t>15</w:t>
            </w:r>
            <w:r>
              <w:rPr>
                <w:kern w:val="11"/>
                <w:szCs w:val="21"/>
                <w:highlight w:val="none"/>
              </w:rPr>
              <w:t>日</w:t>
            </w:r>
            <w:r>
              <w:rPr>
                <w:rFonts w:hint="eastAsia"/>
                <w:kern w:val="11"/>
                <w:szCs w:val="21"/>
                <w:highlight w:val="none"/>
              </w:rPr>
              <w:t>09</w:t>
            </w:r>
            <w:r>
              <w:rPr>
                <w:kern w:val="11"/>
                <w:szCs w:val="21"/>
                <w:highlight w:val="none"/>
              </w:rPr>
              <w:t>时</w:t>
            </w:r>
            <w:r>
              <w:rPr>
                <w:rFonts w:hint="eastAsia"/>
                <w:kern w:val="11"/>
                <w:szCs w:val="21"/>
                <w:highlight w:val="none"/>
              </w:rPr>
              <w:t>30</w:t>
            </w:r>
            <w:r>
              <w:rPr>
                <w:kern w:val="11"/>
                <w:szCs w:val="21"/>
                <w:highlight w:val="none"/>
              </w:rPr>
              <w:t>分（北京时间）</w:t>
            </w:r>
          </w:p>
          <w:p>
            <w:pPr>
              <w:spacing w:line="500" w:lineRule="exact"/>
              <w:ind w:left="-4" w:firstLine="4"/>
              <w:rPr>
                <w:kern w:val="11"/>
                <w:szCs w:val="21"/>
                <w:highlight w:val="none"/>
              </w:rPr>
            </w:pPr>
            <w:r>
              <w:rPr>
                <w:kern w:val="11"/>
                <w:szCs w:val="21"/>
                <w:highlight w:val="none"/>
              </w:rPr>
              <w:t>开标地点：</w:t>
            </w:r>
            <w:r>
              <w:rPr>
                <w:rFonts w:hint="eastAsia"/>
                <w:kern w:val="11"/>
                <w:szCs w:val="21"/>
                <w:highlight w:val="none"/>
              </w:rPr>
              <w:t>海南政坤招标代理有限公司（海口市美兰区蓝天路名门广场北区A座1905室）</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61" w:type="dxa"/>
            <w:noWrap/>
            <w:vAlign w:val="center"/>
          </w:tcPr>
          <w:p>
            <w:pPr>
              <w:spacing w:line="500" w:lineRule="exact"/>
              <w:jc w:val="center"/>
              <w:rPr>
                <w:kern w:val="11"/>
                <w:szCs w:val="21"/>
              </w:rPr>
            </w:pPr>
            <w:r>
              <w:rPr>
                <w:kern w:val="11"/>
                <w:szCs w:val="21"/>
              </w:rPr>
              <w:t>23.1</w:t>
            </w:r>
          </w:p>
        </w:tc>
        <w:tc>
          <w:tcPr>
            <w:tcW w:w="7781" w:type="dxa"/>
            <w:noWrap/>
            <w:vAlign w:val="center"/>
          </w:tcPr>
          <w:p>
            <w:pPr>
              <w:spacing w:line="500" w:lineRule="exact"/>
              <w:ind w:left="-4" w:leftChars="-2" w:firstLine="65" w:firstLineChars="31"/>
              <w:rPr>
                <w:kern w:val="11"/>
                <w:szCs w:val="21"/>
              </w:rPr>
            </w:pPr>
            <w:r>
              <w:rPr>
                <w:kern w:val="11"/>
                <w:szCs w:val="21"/>
              </w:rPr>
              <w:t>评标方法：最低评标价法。</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161" w:type="dxa"/>
            <w:noWrap/>
            <w:vAlign w:val="center"/>
          </w:tcPr>
          <w:p>
            <w:pPr>
              <w:spacing w:line="500" w:lineRule="exact"/>
              <w:jc w:val="center"/>
              <w:rPr>
                <w:kern w:val="11"/>
                <w:szCs w:val="21"/>
              </w:rPr>
            </w:pPr>
            <w:r>
              <w:rPr>
                <w:kern w:val="11"/>
                <w:szCs w:val="21"/>
              </w:rPr>
              <w:t>24.5.1</w:t>
            </w:r>
          </w:p>
        </w:tc>
        <w:tc>
          <w:tcPr>
            <w:tcW w:w="7781" w:type="dxa"/>
            <w:noWrap/>
            <w:vAlign w:val="center"/>
          </w:tcPr>
          <w:p>
            <w:pPr>
              <w:spacing w:line="500" w:lineRule="exact"/>
              <w:ind w:left="-4" w:leftChars="-2" w:firstLine="65" w:firstLineChars="31"/>
              <w:rPr>
                <w:kern w:val="11"/>
                <w:szCs w:val="21"/>
              </w:rPr>
            </w:pPr>
            <w:r>
              <w:rPr>
                <w:kern w:val="11"/>
                <w:szCs w:val="21"/>
              </w:rPr>
              <w:t>在商务评议过程中，有下列情形之一者，其投标将被否决：</w:t>
            </w:r>
          </w:p>
          <w:p>
            <w:pPr>
              <w:spacing w:line="500" w:lineRule="exact"/>
              <w:ind w:left="-4" w:leftChars="-2" w:firstLine="65" w:firstLineChars="31"/>
              <w:rPr>
                <w:kern w:val="11"/>
                <w:szCs w:val="21"/>
              </w:rPr>
            </w:pPr>
            <w:r>
              <w:rPr>
                <w:kern w:val="11"/>
                <w:szCs w:val="21"/>
              </w:rPr>
              <w:t>1）投标人或其制造商与招标人有利害关系可能影响招标公正性的；</w:t>
            </w:r>
          </w:p>
          <w:p>
            <w:pPr>
              <w:spacing w:line="500" w:lineRule="exact"/>
              <w:ind w:left="-4" w:leftChars="-2" w:firstLine="65" w:firstLineChars="31"/>
              <w:rPr>
                <w:kern w:val="11"/>
                <w:szCs w:val="21"/>
              </w:rPr>
            </w:pPr>
            <w:r>
              <w:rPr>
                <w:kern w:val="11"/>
                <w:szCs w:val="21"/>
              </w:rPr>
              <w:t>2）投标人参与项目前期咨询或招标文件编制的；</w:t>
            </w:r>
          </w:p>
          <w:p>
            <w:pPr>
              <w:spacing w:line="500" w:lineRule="exact"/>
              <w:ind w:left="-4" w:leftChars="-2" w:firstLine="65" w:firstLineChars="31"/>
              <w:rPr>
                <w:kern w:val="11"/>
                <w:szCs w:val="21"/>
              </w:rPr>
            </w:pPr>
            <w:r>
              <w:rPr>
                <w:kern w:val="11"/>
                <w:szCs w:val="21"/>
              </w:rPr>
              <w:t>3）不同投标人单位负责人为同一人或者存在控股、管理关系的；</w:t>
            </w:r>
          </w:p>
          <w:p>
            <w:pPr>
              <w:spacing w:line="500" w:lineRule="exact"/>
              <w:ind w:left="-4" w:leftChars="-2" w:firstLine="65" w:firstLineChars="31"/>
              <w:rPr>
                <w:kern w:val="11"/>
                <w:szCs w:val="21"/>
              </w:rPr>
            </w:pPr>
            <w:r>
              <w:rPr>
                <w:kern w:val="11"/>
                <w:szCs w:val="21"/>
              </w:rPr>
              <w:t>4）投标文件未按招标文件的要求签署的；</w:t>
            </w:r>
          </w:p>
          <w:p>
            <w:pPr>
              <w:spacing w:line="500" w:lineRule="exact"/>
              <w:ind w:left="-4" w:leftChars="-2" w:firstLine="65" w:firstLineChars="31"/>
              <w:rPr>
                <w:kern w:val="11"/>
                <w:szCs w:val="21"/>
              </w:rPr>
            </w:pPr>
            <w:r>
              <w:rPr>
                <w:kern w:val="11"/>
                <w:szCs w:val="21"/>
              </w:rPr>
              <w:t>5）投标联合体没有提交共同投标协议的；</w:t>
            </w:r>
          </w:p>
          <w:p>
            <w:pPr>
              <w:spacing w:line="500" w:lineRule="exact"/>
              <w:ind w:left="-4" w:leftChars="-2" w:firstLine="65" w:firstLineChars="31"/>
              <w:rPr>
                <w:kern w:val="11"/>
                <w:szCs w:val="21"/>
              </w:rPr>
            </w:pPr>
            <w:r>
              <w:rPr>
                <w:kern w:val="11"/>
                <w:szCs w:val="21"/>
              </w:rPr>
              <w:t>6）投标人的投标书、资格证明材料未提供，或不符合国家规定或者招标文件要</w:t>
            </w:r>
          </w:p>
          <w:p>
            <w:pPr>
              <w:spacing w:line="500" w:lineRule="exact"/>
              <w:ind w:left="-4" w:leftChars="-2" w:firstLine="65" w:firstLineChars="31"/>
              <w:rPr>
                <w:kern w:val="11"/>
                <w:szCs w:val="21"/>
              </w:rPr>
            </w:pPr>
            <w:r>
              <w:rPr>
                <w:kern w:val="11"/>
                <w:szCs w:val="21"/>
              </w:rPr>
              <w:t>求的；</w:t>
            </w:r>
          </w:p>
          <w:p>
            <w:pPr>
              <w:spacing w:line="500" w:lineRule="exact"/>
              <w:ind w:left="-4" w:leftChars="-2" w:firstLine="65" w:firstLineChars="31"/>
              <w:rPr>
                <w:kern w:val="11"/>
                <w:szCs w:val="21"/>
              </w:rPr>
            </w:pPr>
            <w:r>
              <w:rPr>
                <w:kern w:val="11"/>
                <w:szCs w:val="21"/>
              </w:rPr>
              <w:t>7）同一投标人提交两个以上不同的投标方案或者投标报价的，但招标文件要求</w:t>
            </w:r>
          </w:p>
          <w:p>
            <w:pPr>
              <w:spacing w:line="500" w:lineRule="exact"/>
              <w:ind w:left="-4" w:leftChars="-2" w:firstLine="65" w:firstLineChars="31"/>
              <w:rPr>
                <w:kern w:val="11"/>
                <w:szCs w:val="21"/>
              </w:rPr>
            </w:pPr>
            <w:r>
              <w:rPr>
                <w:kern w:val="11"/>
                <w:szCs w:val="21"/>
              </w:rPr>
              <w:t>提交备选方案的除外；</w:t>
            </w:r>
          </w:p>
          <w:p>
            <w:pPr>
              <w:spacing w:line="500" w:lineRule="exact"/>
              <w:ind w:left="-4" w:leftChars="-2" w:firstLine="65" w:firstLineChars="31"/>
              <w:rPr>
                <w:kern w:val="11"/>
                <w:szCs w:val="21"/>
              </w:rPr>
            </w:pPr>
            <w:r>
              <w:rPr>
                <w:kern w:val="11"/>
                <w:szCs w:val="21"/>
              </w:rPr>
              <w:t>8）投标人未按招标文件要求提交投标保证金或保证金金额不足、保函有效期不</w:t>
            </w:r>
          </w:p>
          <w:p>
            <w:pPr>
              <w:spacing w:line="500" w:lineRule="exact"/>
              <w:ind w:left="-4" w:leftChars="-2" w:firstLine="65" w:firstLineChars="31"/>
              <w:rPr>
                <w:kern w:val="11"/>
                <w:szCs w:val="21"/>
              </w:rPr>
            </w:pPr>
            <w:r>
              <w:rPr>
                <w:kern w:val="11"/>
                <w:szCs w:val="21"/>
              </w:rPr>
              <w:t>足、投标保证金形式或出具投标保函的银行不符合招标文件要求的；</w:t>
            </w:r>
          </w:p>
          <w:p>
            <w:pPr>
              <w:spacing w:line="500" w:lineRule="exact"/>
              <w:ind w:left="-4" w:leftChars="-2" w:firstLine="65" w:firstLineChars="31"/>
              <w:rPr>
                <w:kern w:val="11"/>
                <w:szCs w:val="21"/>
              </w:rPr>
            </w:pPr>
            <w:r>
              <w:rPr>
                <w:kern w:val="11"/>
                <w:szCs w:val="21"/>
              </w:rPr>
              <w:t>9）投标文件不满足招标文件加注星号（“★”）的重要商务条款要求的；</w:t>
            </w:r>
          </w:p>
          <w:p>
            <w:pPr>
              <w:spacing w:line="500" w:lineRule="exact"/>
              <w:ind w:left="-4" w:leftChars="-2" w:firstLine="65" w:firstLineChars="31"/>
              <w:rPr>
                <w:kern w:val="11"/>
                <w:szCs w:val="21"/>
              </w:rPr>
            </w:pPr>
            <w:r>
              <w:rPr>
                <w:kern w:val="11"/>
                <w:szCs w:val="21"/>
              </w:rPr>
              <w:t>10）投标报价高于招标文件设定的最高投标限价的；</w:t>
            </w:r>
          </w:p>
          <w:p>
            <w:pPr>
              <w:spacing w:line="500" w:lineRule="exact"/>
              <w:ind w:left="-4" w:leftChars="-2" w:firstLine="65" w:firstLineChars="31"/>
              <w:rPr>
                <w:kern w:val="11"/>
                <w:szCs w:val="21"/>
              </w:rPr>
            </w:pPr>
            <w:r>
              <w:rPr>
                <w:kern w:val="11"/>
                <w:szCs w:val="21"/>
              </w:rPr>
              <w:t>11）投标有效期不足的；</w:t>
            </w:r>
          </w:p>
          <w:p>
            <w:pPr>
              <w:spacing w:line="500" w:lineRule="exact"/>
              <w:ind w:left="-4" w:leftChars="-2" w:firstLine="65" w:firstLineChars="31"/>
              <w:rPr>
                <w:kern w:val="11"/>
                <w:szCs w:val="21"/>
              </w:rPr>
            </w:pPr>
            <w:r>
              <w:rPr>
                <w:kern w:val="11"/>
                <w:szCs w:val="21"/>
              </w:rPr>
              <w:t>12）投标人有串通投标、弄虚作假、行贿等违法行为的；</w:t>
            </w:r>
          </w:p>
          <w:p>
            <w:pPr>
              <w:tabs>
                <w:tab w:val="left" w:pos="1726"/>
              </w:tabs>
              <w:spacing w:line="500" w:lineRule="exact"/>
              <w:ind w:left="-4" w:leftChars="-2" w:firstLine="65" w:firstLineChars="31"/>
              <w:rPr>
                <w:kern w:val="11"/>
                <w:szCs w:val="21"/>
              </w:rPr>
            </w:pPr>
            <w:r>
              <w:rPr>
                <w:kern w:val="11"/>
                <w:szCs w:val="21"/>
              </w:rPr>
              <w:t>13）存在招标文件中规定的否决投标的其他商务条款的。</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161" w:type="dxa"/>
            <w:noWrap/>
            <w:vAlign w:val="center"/>
          </w:tcPr>
          <w:p>
            <w:pPr>
              <w:spacing w:line="500" w:lineRule="exact"/>
              <w:jc w:val="center"/>
              <w:rPr>
                <w:kern w:val="11"/>
                <w:szCs w:val="21"/>
              </w:rPr>
            </w:pPr>
            <w:r>
              <w:rPr>
                <w:kern w:val="11"/>
                <w:szCs w:val="21"/>
              </w:rPr>
              <w:t>24.5.2</w:t>
            </w:r>
          </w:p>
        </w:tc>
        <w:tc>
          <w:tcPr>
            <w:tcW w:w="7781" w:type="dxa"/>
            <w:noWrap/>
            <w:vAlign w:val="center"/>
          </w:tcPr>
          <w:p>
            <w:pPr>
              <w:spacing w:line="500" w:lineRule="exact"/>
              <w:ind w:left="-4" w:leftChars="-2" w:firstLine="65" w:firstLineChars="31"/>
              <w:rPr>
                <w:kern w:val="11"/>
                <w:szCs w:val="21"/>
              </w:rPr>
            </w:pPr>
            <w:r>
              <w:rPr>
                <w:kern w:val="11"/>
                <w:szCs w:val="21"/>
              </w:rPr>
              <w:t>技术评议过程中，有下列情形之一者，其投标将被否决：</w:t>
            </w:r>
          </w:p>
          <w:p>
            <w:pPr>
              <w:spacing w:line="500" w:lineRule="exact"/>
              <w:ind w:left="-4" w:leftChars="-2" w:firstLine="65" w:firstLineChars="31"/>
              <w:rPr>
                <w:kern w:val="11"/>
                <w:szCs w:val="21"/>
              </w:rPr>
            </w:pPr>
            <w:r>
              <w:rPr>
                <w:kern w:val="11"/>
                <w:szCs w:val="21"/>
              </w:rPr>
              <w:t>1）投标文件不满足招标文件技术规格中加注星号（“★”）的重要条款（参数）要求，或加注星号（“★”）的重要条款（参数）无符合招标文件要求的技术资料</w:t>
            </w:r>
          </w:p>
          <w:p>
            <w:pPr>
              <w:spacing w:line="500" w:lineRule="exact"/>
              <w:ind w:left="-4" w:leftChars="-2" w:firstLine="65" w:firstLineChars="31"/>
              <w:rPr>
                <w:kern w:val="11"/>
                <w:szCs w:val="21"/>
              </w:rPr>
            </w:pPr>
            <w:r>
              <w:rPr>
                <w:kern w:val="11"/>
                <w:szCs w:val="21"/>
              </w:rPr>
              <w:t>支持的；</w:t>
            </w:r>
          </w:p>
          <w:p>
            <w:pPr>
              <w:spacing w:line="500" w:lineRule="exact"/>
              <w:ind w:left="-4" w:leftChars="-2" w:firstLine="65" w:firstLineChars="31"/>
              <w:rPr>
                <w:kern w:val="11"/>
                <w:szCs w:val="21"/>
              </w:rPr>
            </w:pPr>
            <w:r>
              <w:rPr>
                <w:kern w:val="11"/>
                <w:szCs w:val="21"/>
              </w:rPr>
              <w:t>2）投标文件技术规格中一般参数超出允许偏离的最大范围或最多项数的；</w:t>
            </w:r>
          </w:p>
          <w:p>
            <w:pPr>
              <w:spacing w:line="500" w:lineRule="exact"/>
              <w:ind w:left="-4" w:leftChars="-2" w:firstLine="65" w:firstLineChars="31"/>
              <w:rPr>
                <w:kern w:val="11"/>
                <w:szCs w:val="21"/>
              </w:rPr>
            </w:pPr>
            <w:r>
              <w:rPr>
                <w:kern w:val="11"/>
                <w:szCs w:val="21"/>
              </w:rPr>
              <w:t>3）投标文件技术规格中的响应与事实不符或虚假投标的；</w:t>
            </w:r>
          </w:p>
          <w:p>
            <w:pPr>
              <w:spacing w:line="500" w:lineRule="exact"/>
              <w:ind w:left="-4" w:leftChars="-2" w:firstLine="65" w:firstLineChars="31"/>
              <w:rPr>
                <w:kern w:val="11"/>
                <w:szCs w:val="21"/>
              </w:rPr>
            </w:pPr>
            <w:r>
              <w:rPr>
                <w:kern w:val="11"/>
                <w:szCs w:val="21"/>
              </w:rPr>
              <w:t>4）投标人全部复制招标文件的技术规格相关部分内容作为其投标文件中一部分的；</w:t>
            </w:r>
          </w:p>
          <w:p>
            <w:pPr>
              <w:spacing w:line="500" w:lineRule="exact"/>
              <w:ind w:left="-4" w:leftChars="-2" w:firstLine="65" w:firstLineChars="31"/>
              <w:rPr>
                <w:kern w:val="11"/>
                <w:szCs w:val="21"/>
              </w:rPr>
            </w:pPr>
            <w:r>
              <w:rPr>
                <w:kern w:val="11"/>
                <w:szCs w:val="21"/>
              </w:rPr>
              <w:t>5）存在招标文件中规定的否决投标的其他技术条款的。</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61" w:type="dxa"/>
            <w:noWrap/>
            <w:vAlign w:val="center"/>
          </w:tcPr>
          <w:p>
            <w:pPr>
              <w:spacing w:line="500" w:lineRule="exact"/>
              <w:jc w:val="center"/>
              <w:rPr>
                <w:kern w:val="11"/>
                <w:szCs w:val="21"/>
              </w:rPr>
            </w:pPr>
            <w:r>
              <w:rPr>
                <w:kern w:val="11"/>
                <w:szCs w:val="21"/>
              </w:rPr>
              <w:t>25.1</w:t>
            </w:r>
          </w:p>
        </w:tc>
        <w:tc>
          <w:tcPr>
            <w:tcW w:w="7781" w:type="dxa"/>
            <w:noWrap/>
            <w:vAlign w:val="center"/>
          </w:tcPr>
          <w:p>
            <w:pPr>
              <w:tabs>
                <w:tab w:val="left" w:pos="1726"/>
              </w:tabs>
              <w:spacing w:line="500" w:lineRule="exact"/>
              <w:ind w:left="-4" w:firstLine="4"/>
              <w:jc w:val="left"/>
              <w:rPr>
                <w:kern w:val="11"/>
                <w:szCs w:val="21"/>
              </w:rPr>
            </w:pPr>
            <w:r>
              <w:rPr>
                <w:kern w:val="11"/>
                <w:szCs w:val="21"/>
              </w:rPr>
              <w:t>转换为单一货币：为了便于评标和比较，如果投标报价中有多种货币，评标时均按照中国银行总行首次发布的外币对人民币的现汇卖出价转换为美元作为评标货币。以便计算评标价。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1161" w:type="dxa"/>
            <w:noWrap/>
            <w:vAlign w:val="center"/>
          </w:tcPr>
          <w:p>
            <w:pPr>
              <w:spacing w:line="500" w:lineRule="exact"/>
              <w:jc w:val="center"/>
              <w:rPr>
                <w:kern w:val="11"/>
                <w:szCs w:val="21"/>
              </w:rPr>
            </w:pPr>
            <w:r>
              <w:rPr>
                <w:kern w:val="11"/>
                <w:szCs w:val="21"/>
              </w:rPr>
              <w:t>26.4.1</w:t>
            </w:r>
          </w:p>
        </w:tc>
        <w:tc>
          <w:tcPr>
            <w:tcW w:w="7781" w:type="dxa"/>
            <w:noWrap/>
            <w:vAlign w:val="center"/>
          </w:tcPr>
          <w:p>
            <w:pPr>
              <w:spacing w:line="500" w:lineRule="exact"/>
              <w:ind w:left="-42" w:leftChars="-20" w:firstLine="105" w:firstLineChars="50"/>
              <w:rPr>
                <w:kern w:val="11"/>
                <w:szCs w:val="21"/>
              </w:rPr>
            </w:pPr>
            <w:r>
              <w:rPr>
                <w:kern w:val="11"/>
                <w:szCs w:val="21"/>
              </w:rPr>
              <w:t>不适用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1161" w:type="dxa"/>
            <w:noWrap/>
            <w:vAlign w:val="center"/>
          </w:tcPr>
          <w:p>
            <w:pPr>
              <w:spacing w:line="500" w:lineRule="exact"/>
              <w:jc w:val="center"/>
              <w:rPr>
                <w:kern w:val="11"/>
                <w:szCs w:val="21"/>
              </w:rPr>
            </w:pPr>
            <w:r>
              <w:rPr>
                <w:kern w:val="11"/>
                <w:szCs w:val="21"/>
              </w:rPr>
              <w:t>26.4.2</w:t>
            </w:r>
          </w:p>
        </w:tc>
        <w:tc>
          <w:tcPr>
            <w:tcW w:w="7781" w:type="dxa"/>
            <w:noWrap/>
            <w:vAlign w:val="center"/>
          </w:tcPr>
          <w:p>
            <w:pPr>
              <w:spacing w:line="500" w:lineRule="exact"/>
              <w:ind w:left="157" w:leftChars="30" w:hanging="94" w:hangingChars="45"/>
              <w:rPr>
                <w:kern w:val="11"/>
                <w:szCs w:val="21"/>
              </w:rPr>
            </w:pPr>
            <w:r>
              <w:rPr>
                <w:kern w:val="11"/>
                <w:szCs w:val="21"/>
              </w:rPr>
              <w:t>交货期的偏离：</w:t>
            </w:r>
          </w:p>
          <w:p>
            <w:pPr>
              <w:spacing w:line="500" w:lineRule="exact"/>
              <w:ind w:left="63" w:leftChars="30"/>
              <w:rPr>
                <w:kern w:val="11"/>
                <w:szCs w:val="21"/>
              </w:rPr>
            </w:pPr>
            <w:r>
              <w:rPr>
                <w:kern w:val="11"/>
                <w:szCs w:val="21"/>
              </w:rPr>
              <w:t>允许提前交货，但不考虑降低评标价；如果延迟交货，每延迟一周，将增加投标总价的2%作为评标加价，</w:t>
            </w:r>
            <w:r>
              <w:rPr>
                <w:szCs w:val="21"/>
              </w:rPr>
              <w:t>不足一周按一周计算</w:t>
            </w:r>
            <w:r>
              <w:rPr>
                <w:kern w:val="11"/>
                <w:szCs w:val="21"/>
              </w:rPr>
              <w:t>。</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1161" w:type="dxa"/>
            <w:noWrap/>
            <w:vAlign w:val="center"/>
          </w:tcPr>
          <w:p>
            <w:pPr>
              <w:spacing w:line="500" w:lineRule="exact"/>
              <w:jc w:val="center"/>
              <w:rPr>
                <w:kern w:val="11"/>
                <w:szCs w:val="21"/>
              </w:rPr>
            </w:pPr>
            <w:r>
              <w:rPr>
                <w:sz w:val="24"/>
                <w:szCs w:val="24"/>
              </w:rPr>
              <w:t>★</w:t>
            </w:r>
            <w:r>
              <w:rPr>
                <w:kern w:val="11"/>
                <w:szCs w:val="21"/>
              </w:rPr>
              <w:t>26.4.3</w:t>
            </w:r>
          </w:p>
        </w:tc>
        <w:tc>
          <w:tcPr>
            <w:tcW w:w="7781" w:type="dxa"/>
            <w:noWrap/>
            <w:vAlign w:val="center"/>
          </w:tcPr>
          <w:p>
            <w:pPr>
              <w:spacing w:line="500" w:lineRule="exact"/>
              <w:ind w:left="63" w:leftChars="30"/>
            </w:pPr>
            <w:r>
              <w:rPr>
                <w:b/>
                <w:bCs/>
                <w:kern w:val="11"/>
                <w:szCs w:val="21"/>
              </w:rPr>
              <w:t>付款</w:t>
            </w:r>
            <w:r>
              <w:rPr>
                <w:rFonts w:hint="eastAsia"/>
                <w:b/>
                <w:bCs/>
                <w:kern w:val="11"/>
                <w:szCs w:val="21"/>
              </w:rPr>
              <w:t>方法和</w:t>
            </w:r>
            <w:r>
              <w:rPr>
                <w:b/>
                <w:bCs/>
                <w:kern w:val="11"/>
                <w:szCs w:val="21"/>
              </w:rPr>
              <w:t>条件：</w:t>
            </w:r>
            <w:r>
              <w:rPr>
                <w:rFonts w:hint="eastAsia"/>
              </w:rPr>
              <w:t>详见商务条款</w:t>
            </w:r>
          </w:p>
          <w:p>
            <w:pPr>
              <w:spacing w:line="500" w:lineRule="exact"/>
              <w:ind w:left="63" w:leftChars="30"/>
              <w:rPr>
                <w:kern w:val="11"/>
                <w:szCs w:val="21"/>
              </w:rPr>
            </w:pPr>
            <w:r>
              <w:rPr>
                <w:rFonts w:hint="eastAsia"/>
                <w:kern w:val="11"/>
                <w:szCs w:val="21"/>
              </w:rPr>
              <w:t>（注：</w:t>
            </w:r>
            <w:r>
              <w:rPr>
                <w:kern w:val="11"/>
                <w:szCs w:val="21"/>
              </w:rPr>
              <w:t>不允许对付款条件进行偏离。任何对付款条件有偏离的投标将被视为对招标文件的实质性不响应而导致其投标将被否决。</w:t>
            </w:r>
            <w:r>
              <w:rPr>
                <w:rFonts w:hint="eastAsia"/>
                <w:kern w:val="11"/>
                <w:szCs w:val="21"/>
              </w:rPr>
              <w:t>）</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61" w:type="dxa"/>
            <w:noWrap/>
            <w:vAlign w:val="center"/>
          </w:tcPr>
          <w:p>
            <w:pPr>
              <w:spacing w:line="500" w:lineRule="exact"/>
              <w:ind w:leftChars="-45" w:hanging="94" w:hangingChars="45"/>
              <w:jc w:val="center"/>
              <w:rPr>
                <w:kern w:val="11"/>
                <w:szCs w:val="21"/>
              </w:rPr>
            </w:pPr>
            <w:r>
              <w:rPr>
                <w:szCs w:val="21"/>
              </w:rPr>
              <w:t>26.4.4</w:t>
            </w:r>
          </w:p>
        </w:tc>
        <w:tc>
          <w:tcPr>
            <w:tcW w:w="7781" w:type="dxa"/>
            <w:noWrap/>
            <w:vAlign w:val="center"/>
          </w:tcPr>
          <w:p>
            <w:pPr>
              <w:spacing w:line="500" w:lineRule="exact"/>
              <w:ind w:left="-4" w:leftChars="-2" w:firstLine="65" w:firstLineChars="31"/>
              <w:rPr>
                <w:kern w:val="11"/>
                <w:szCs w:val="21"/>
              </w:rPr>
            </w:pPr>
            <w:r>
              <w:rPr>
                <w:kern w:val="11"/>
                <w:szCs w:val="21"/>
              </w:rPr>
              <w:t>零部件和备品备件的费用：不适用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1161" w:type="dxa"/>
            <w:noWrap/>
            <w:vAlign w:val="center"/>
          </w:tcPr>
          <w:p>
            <w:pPr>
              <w:spacing w:line="500" w:lineRule="exact"/>
              <w:jc w:val="center"/>
              <w:rPr>
                <w:kern w:val="11"/>
                <w:szCs w:val="21"/>
              </w:rPr>
            </w:pPr>
            <w:r>
              <w:rPr>
                <w:kern w:val="11"/>
                <w:szCs w:val="21"/>
              </w:rPr>
              <w:t>26.4.5</w:t>
            </w:r>
          </w:p>
        </w:tc>
        <w:tc>
          <w:tcPr>
            <w:tcW w:w="7781" w:type="dxa"/>
            <w:noWrap/>
            <w:vAlign w:val="center"/>
          </w:tcPr>
          <w:p>
            <w:pPr>
              <w:spacing w:line="500" w:lineRule="exact"/>
              <w:ind w:left="-4" w:leftChars="-2" w:firstLine="65" w:firstLineChars="31"/>
              <w:rPr>
                <w:kern w:val="11"/>
                <w:szCs w:val="21"/>
              </w:rPr>
            </w:pPr>
            <w:r>
              <w:rPr>
                <w:kern w:val="11"/>
                <w:szCs w:val="21"/>
              </w:rPr>
              <w:t>中国关境内的备件供应和售后服务设施：投标设备应在海南省内设有维修服务设施和零部件库房，否则评标时评标委员会将增加投标总价的1%作为评标价。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161" w:type="dxa"/>
            <w:noWrap/>
            <w:vAlign w:val="center"/>
          </w:tcPr>
          <w:p>
            <w:pPr>
              <w:snapToGrid w:val="0"/>
              <w:spacing w:line="500" w:lineRule="exact"/>
              <w:jc w:val="center"/>
              <w:rPr>
                <w:kern w:val="11"/>
                <w:szCs w:val="21"/>
              </w:rPr>
            </w:pPr>
            <w:r>
              <w:rPr>
                <w:kern w:val="11"/>
                <w:szCs w:val="21"/>
              </w:rPr>
              <w:t>26.4.6</w:t>
            </w:r>
          </w:p>
        </w:tc>
        <w:tc>
          <w:tcPr>
            <w:tcW w:w="7781" w:type="dxa"/>
            <w:noWrap/>
            <w:vAlign w:val="center"/>
          </w:tcPr>
          <w:p>
            <w:pPr>
              <w:snapToGrid w:val="0"/>
              <w:spacing w:line="500" w:lineRule="exact"/>
              <w:rPr>
                <w:kern w:val="11"/>
                <w:szCs w:val="21"/>
              </w:rPr>
            </w:pPr>
            <w:r>
              <w:rPr>
                <w:kern w:val="0"/>
                <w:szCs w:val="21"/>
              </w:rPr>
              <w:t>投标设备的预计运行和维护费用</w:t>
            </w:r>
            <w:r>
              <w:rPr>
                <w:kern w:val="11"/>
                <w:szCs w:val="21"/>
              </w:rPr>
              <w:t>：不适用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61" w:type="dxa"/>
            <w:tcBorders>
              <w:bottom w:val="nil"/>
            </w:tcBorders>
            <w:noWrap/>
            <w:vAlign w:val="center"/>
          </w:tcPr>
          <w:p>
            <w:pPr>
              <w:snapToGrid w:val="0"/>
              <w:spacing w:line="500" w:lineRule="exact"/>
              <w:jc w:val="center"/>
              <w:rPr>
                <w:kern w:val="11"/>
                <w:szCs w:val="21"/>
              </w:rPr>
            </w:pPr>
            <w:r>
              <w:rPr>
                <w:kern w:val="11"/>
                <w:szCs w:val="21"/>
              </w:rPr>
              <w:t>26.4.7</w:t>
            </w:r>
          </w:p>
        </w:tc>
        <w:tc>
          <w:tcPr>
            <w:tcW w:w="7781" w:type="dxa"/>
            <w:tcBorders>
              <w:bottom w:val="nil"/>
            </w:tcBorders>
            <w:noWrap/>
            <w:vAlign w:val="center"/>
          </w:tcPr>
          <w:p>
            <w:pPr>
              <w:snapToGrid w:val="0"/>
              <w:spacing w:line="500" w:lineRule="exact"/>
              <w:rPr>
                <w:kern w:val="11"/>
                <w:szCs w:val="21"/>
              </w:rPr>
            </w:pPr>
            <w:r>
              <w:rPr>
                <w:kern w:val="0"/>
                <w:szCs w:val="21"/>
              </w:rPr>
              <w:t>投标设备的性能和生产率</w:t>
            </w:r>
            <w:r>
              <w:rPr>
                <w:kern w:val="11"/>
                <w:szCs w:val="21"/>
              </w:rPr>
              <w:t>：不适用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542" w:hRule="atLeast"/>
        </w:trPr>
        <w:tc>
          <w:tcPr>
            <w:tcW w:w="1161" w:type="dxa"/>
            <w:tcBorders>
              <w:top w:val="single" w:color="auto" w:sz="4" w:space="0"/>
            </w:tcBorders>
            <w:noWrap/>
            <w:vAlign w:val="center"/>
          </w:tcPr>
          <w:p>
            <w:pPr>
              <w:spacing w:line="500" w:lineRule="exact"/>
              <w:jc w:val="center"/>
              <w:rPr>
                <w:kern w:val="11"/>
                <w:szCs w:val="21"/>
              </w:rPr>
            </w:pPr>
            <w:r>
              <w:rPr>
                <w:kern w:val="11"/>
                <w:szCs w:val="21"/>
              </w:rPr>
              <w:t>26.4.8</w:t>
            </w:r>
          </w:p>
        </w:tc>
        <w:tc>
          <w:tcPr>
            <w:tcW w:w="7781" w:type="dxa"/>
            <w:tcBorders>
              <w:top w:val="single" w:color="auto" w:sz="4" w:space="0"/>
            </w:tcBorders>
            <w:noWrap/>
            <w:vAlign w:val="center"/>
          </w:tcPr>
          <w:p>
            <w:pPr>
              <w:snapToGrid w:val="0"/>
              <w:spacing w:line="500" w:lineRule="exact"/>
              <w:rPr>
                <w:kern w:val="11"/>
                <w:szCs w:val="21"/>
              </w:rPr>
            </w:pPr>
            <w:r>
              <w:rPr>
                <w:kern w:val="11"/>
                <w:szCs w:val="21"/>
              </w:rPr>
              <w:t>其他额外的评标因素和标准：</w:t>
            </w:r>
          </w:p>
          <w:p>
            <w:pPr>
              <w:snapToGrid w:val="0"/>
              <w:spacing w:line="500" w:lineRule="exact"/>
              <w:rPr>
                <w:kern w:val="11"/>
                <w:szCs w:val="21"/>
              </w:rPr>
            </w:pPr>
            <w:r>
              <w:rPr>
                <w:kern w:val="11"/>
                <w:szCs w:val="21"/>
              </w:rPr>
              <w:t>1）投标人应详细注明技术规格及其偏离。如响应的技术规格低于招标文件要求</w:t>
            </w:r>
            <w:r>
              <w:rPr>
                <w:rFonts w:hint="eastAsia"/>
                <w:kern w:val="11"/>
                <w:szCs w:val="21"/>
              </w:rPr>
              <w:t>，</w:t>
            </w:r>
            <w:r>
              <w:rPr>
                <w:kern w:val="11"/>
                <w:szCs w:val="21"/>
              </w:rPr>
              <w:t>为偏离；技术规格高于招标文件要求的不考虑降低评标价格。</w:t>
            </w:r>
          </w:p>
          <w:p>
            <w:pPr>
              <w:snapToGrid w:val="0"/>
              <w:spacing w:line="500" w:lineRule="exact"/>
              <w:rPr>
                <w:kern w:val="11"/>
                <w:szCs w:val="21"/>
              </w:rPr>
            </w:pPr>
            <w:r>
              <w:rPr>
                <w:kern w:val="11"/>
                <w:szCs w:val="21"/>
              </w:rPr>
              <w:t>2）招标文件中标注“★”的为重要参数和要求，对这些重要参数和要求的任何一项不满足将导致废标。</w:t>
            </w:r>
          </w:p>
          <w:p>
            <w:pPr>
              <w:snapToGrid w:val="0"/>
              <w:spacing w:line="500" w:lineRule="exact"/>
              <w:rPr>
                <w:kern w:val="11"/>
                <w:szCs w:val="21"/>
              </w:rPr>
            </w:pPr>
            <w:r>
              <w:rPr>
                <w:kern w:val="11"/>
                <w:szCs w:val="21"/>
              </w:rPr>
              <w:t>3）对一般商务和技术条款（参数）的每一项偏离将增加</w:t>
            </w:r>
            <w:r>
              <w:t>该设备投标价格</w:t>
            </w:r>
            <w:r>
              <w:rPr>
                <w:kern w:val="11"/>
                <w:szCs w:val="21"/>
              </w:rPr>
              <w:t>的1%计入评标价，一般商务和技术条款（参数）偏离项数达到</w:t>
            </w:r>
            <w:r>
              <w:rPr>
                <w:rFonts w:hint="eastAsia"/>
                <w:kern w:val="11"/>
                <w:szCs w:val="21"/>
              </w:rPr>
              <w:t>3</w:t>
            </w:r>
            <w:r>
              <w:rPr>
                <w:kern w:val="11"/>
                <w:szCs w:val="21"/>
              </w:rPr>
              <w:t>项或所有偏离加价达到</w:t>
            </w:r>
            <w:r>
              <w:rPr>
                <w:rFonts w:hint="eastAsia"/>
                <w:kern w:val="11"/>
                <w:szCs w:val="21"/>
              </w:rPr>
              <w:t>3</w:t>
            </w:r>
            <w:r>
              <w:rPr>
                <w:kern w:val="11"/>
                <w:szCs w:val="21"/>
              </w:rPr>
              <w:t>%将导致其投标被否决。</w:t>
            </w:r>
          </w:p>
          <w:p>
            <w:pPr>
              <w:snapToGrid w:val="0"/>
              <w:spacing w:line="500" w:lineRule="exact"/>
              <w:rPr>
                <w:kern w:val="11"/>
                <w:szCs w:val="21"/>
              </w:rPr>
            </w:pPr>
            <w:r>
              <w:rPr>
                <w:kern w:val="11"/>
                <w:szCs w:val="21"/>
              </w:rPr>
              <w:t>4）投标文件未按招标文件要求响应的，视同不满足招标条款要求。</w:t>
            </w:r>
          </w:p>
          <w:p>
            <w:pPr>
              <w:snapToGrid w:val="0"/>
              <w:spacing w:line="500" w:lineRule="exact"/>
              <w:rPr>
                <w:kern w:val="11"/>
                <w:szCs w:val="21"/>
              </w:rPr>
            </w:pPr>
            <w:r>
              <w:rPr>
                <w:kern w:val="11"/>
                <w:szCs w:val="21"/>
              </w:rPr>
              <w:t>5）如发现投标人所投设备实际技术参数与投标文件中描述的技术参数不相符合，将视该项技术响应为不接受。</w:t>
            </w:r>
          </w:p>
          <w:p>
            <w:pPr>
              <w:snapToGrid w:val="0"/>
              <w:spacing w:line="500" w:lineRule="exact"/>
              <w:rPr>
                <w:kern w:val="11"/>
                <w:szCs w:val="21"/>
                <w:highlight w:val="none"/>
              </w:rPr>
            </w:pPr>
            <w:r>
              <w:rPr>
                <w:kern w:val="11"/>
                <w:szCs w:val="21"/>
              </w:rPr>
              <w:t>6）投标分项报价表、商务条款偏离表与技术规格偏离表必须严格按照招标文件的要求制作，如果未按照招标文件的要求制作，由此产生的投标被拒绝的风险由投标人承</w:t>
            </w:r>
            <w:r>
              <w:rPr>
                <w:kern w:val="11"/>
                <w:szCs w:val="21"/>
                <w:highlight w:val="none"/>
              </w:rPr>
              <w:t>担。</w:t>
            </w:r>
          </w:p>
          <w:p>
            <w:pPr>
              <w:snapToGrid w:val="0"/>
              <w:spacing w:line="500" w:lineRule="exact"/>
              <w:rPr>
                <w:kern w:val="11"/>
                <w:szCs w:val="21"/>
              </w:rPr>
            </w:pPr>
            <w:r>
              <w:rPr>
                <w:kern w:val="11"/>
                <w:szCs w:val="21"/>
                <w:highlight w:val="none"/>
              </w:rPr>
              <w:t>7）</w:t>
            </w:r>
            <w:r>
              <w:rPr>
                <w:rFonts w:hint="eastAsia"/>
                <w:kern w:val="11"/>
                <w:szCs w:val="21"/>
                <w:highlight w:val="none"/>
              </w:rPr>
              <w:t>本项目采购限价为人民币428万元，</w:t>
            </w:r>
            <w:r>
              <w:rPr>
                <w:kern w:val="11"/>
                <w:szCs w:val="21"/>
                <w:highlight w:val="none"/>
              </w:rPr>
              <w:t>超过</w:t>
            </w:r>
            <w:r>
              <w:rPr>
                <w:rFonts w:hint="eastAsia"/>
                <w:kern w:val="11"/>
                <w:szCs w:val="21"/>
                <w:highlight w:val="none"/>
              </w:rPr>
              <w:t>预算单价或投标总</w:t>
            </w:r>
            <w:r>
              <w:rPr>
                <w:kern w:val="11"/>
                <w:szCs w:val="21"/>
                <w:highlight w:val="none"/>
              </w:rPr>
              <w:t>报价，视为无效投标。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61" w:type="dxa"/>
            <w:tcBorders>
              <w:top w:val="single" w:color="auto" w:sz="4" w:space="0"/>
            </w:tcBorders>
            <w:noWrap/>
            <w:vAlign w:val="center"/>
          </w:tcPr>
          <w:p>
            <w:pPr>
              <w:spacing w:line="500" w:lineRule="exact"/>
              <w:jc w:val="center"/>
              <w:rPr>
                <w:kern w:val="11"/>
                <w:szCs w:val="21"/>
              </w:rPr>
            </w:pPr>
            <w:r>
              <w:rPr>
                <w:kern w:val="11"/>
                <w:szCs w:val="21"/>
              </w:rPr>
              <w:t>26.5</w:t>
            </w:r>
          </w:p>
        </w:tc>
        <w:tc>
          <w:tcPr>
            <w:tcW w:w="7781" w:type="dxa"/>
            <w:tcBorders>
              <w:top w:val="single" w:color="auto" w:sz="4" w:space="0"/>
            </w:tcBorders>
            <w:noWrap/>
            <w:vAlign w:val="center"/>
          </w:tcPr>
          <w:p>
            <w:pPr>
              <w:snapToGrid w:val="0"/>
              <w:spacing w:line="500" w:lineRule="exact"/>
              <w:rPr>
                <w:kern w:val="11"/>
                <w:szCs w:val="21"/>
              </w:rPr>
            </w:pPr>
            <w:r>
              <w:rPr>
                <w:kern w:val="11"/>
                <w:szCs w:val="21"/>
              </w:rPr>
              <w:t>本项目推荐1-3名中标候选人，按投标人评标价格由低到高的顺序确定中标候选人。评标价格最低者为排名第一的中标候选人。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0" w:hRule="atLeast"/>
        </w:trPr>
        <w:tc>
          <w:tcPr>
            <w:tcW w:w="8942" w:type="dxa"/>
            <w:gridSpan w:val="2"/>
            <w:noWrap/>
            <w:vAlign w:val="center"/>
          </w:tcPr>
          <w:p>
            <w:pPr>
              <w:snapToGrid w:val="0"/>
              <w:spacing w:line="500" w:lineRule="exact"/>
              <w:ind w:left="63" w:leftChars="30"/>
              <w:jc w:val="center"/>
              <w:rPr>
                <w:kern w:val="11"/>
                <w:szCs w:val="21"/>
              </w:rPr>
            </w:pPr>
            <w:r>
              <w:rPr>
                <w:kern w:val="11"/>
                <w:szCs w:val="21"/>
              </w:rPr>
              <w:t>授  予  合  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1161" w:type="dxa"/>
            <w:noWrap/>
            <w:vAlign w:val="center"/>
          </w:tcPr>
          <w:p>
            <w:pPr>
              <w:spacing w:line="500" w:lineRule="exact"/>
              <w:jc w:val="center"/>
              <w:rPr>
                <w:szCs w:val="21"/>
              </w:rPr>
            </w:pPr>
            <w:r>
              <w:rPr>
                <w:rFonts w:hint="eastAsia"/>
                <w:szCs w:val="21"/>
              </w:rPr>
              <w:t>31</w:t>
            </w:r>
          </w:p>
        </w:tc>
        <w:tc>
          <w:tcPr>
            <w:tcW w:w="7781" w:type="dxa"/>
            <w:noWrap/>
            <w:vAlign w:val="center"/>
          </w:tcPr>
          <w:p>
            <w:pPr>
              <w:snapToGrid w:val="0"/>
              <w:spacing w:line="500" w:lineRule="exact"/>
              <w:rPr>
                <w:kern w:val="11"/>
                <w:szCs w:val="21"/>
              </w:rPr>
            </w:pPr>
            <w:r>
              <w:rPr>
                <w:rFonts w:hint="eastAsia"/>
                <w:kern w:val="11"/>
                <w:szCs w:val="21"/>
              </w:rPr>
              <w:t>履约保证金：合同签订后，中标人开具履约保函</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1161" w:type="dxa"/>
            <w:noWrap/>
            <w:vAlign w:val="center"/>
          </w:tcPr>
          <w:p>
            <w:pPr>
              <w:spacing w:line="500" w:lineRule="exact"/>
              <w:jc w:val="center"/>
              <w:rPr>
                <w:kern w:val="11"/>
                <w:szCs w:val="21"/>
              </w:rPr>
            </w:pPr>
            <w:r>
              <w:rPr>
                <w:szCs w:val="21"/>
              </w:rPr>
              <w:t>33.1</w:t>
            </w:r>
          </w:p>
        </w:tc>
        <w:tc>
          <w:tcPr>
            <w:tcW w:w="7781" w:type="dxa"/>
            <w:noWrap/>
            <w:vAlign w:val="center"/>
          </w:tcPr>
          <w:p>
            <w:pPr>
              <w:snapToGrid w:val="0"/>
              <w:spacing w:line="500" w:lineRule="exact"/>
              <w:rPr>
                <w:kern w:val="11"/>
                <w:szCs w:val="21"/>
              </w:rPr>
            </w:pPr>
            <w:r>
              <w:rPr>
                <w:kern w:val="11"/>
                <w:szCs w:val="21"/>
              </w:rPr>
              <w:t>中标人确定后，招标人将在中标结果公告后20日内向中标人发出《中标通知书》。领取中标通知书时</w:t>
            </w:r>
            <w:r>
              <w:rPr>
                <w:rFonts w:hint="eastAsia"/>
                <w:kern w:val="11"/>
                <w:szCs w:val="21"/>
              </w:rPr>
              <w:t>，</w:t>
            </w:r>
            <w:r>
              <w:rPr>
                <w:kern w:val="11"/>
                <w:szCs w:val="21"/>
              </w:rPr>
              <w:t>领取人须出示法人代表授权书和领取人身份证复印件。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0" w:hRule="atLeast"/>
        </w:trPr>
        <w:tc>
          <w:tcPr>
            <w:tcW w:w="1161" w:type="dxa"/>
            <w:noWrap/>
            <w:vAlign w:val="center"/>
          </w:tcPr>
          <w:p>
            <w:pPr>
              <w:spacing w:line="500" w:lineRule="exact"/>
              <w:jc w:val="center"/>
              <w:rPr>
                <w:kern w:val="11"/>
                <w:szCs w:val="21"/>
              </w:rPr>
            </w:pPr>
            <w:r>
              <w:rPr>
                <w:szCs w:val="21"/>
              </w:rPr>
              <w:t>36.1</w:t>
            </w:r>
          </w:p>
        </w:tc>
        <w:tc>
          <w:tcPr>
            <w:tcW w:w="7781" w:type="dxa"/>
            <w:noWrap/>
            <w:vAlign w:val="center"/>
          </w:tcPr>
          <w:p>
            <w:pPr>
              <w:snapToGrid w:val="0"/>
              <w:spacing w:line="500" w:lineRule="exact"/>
              <w:ind w:left="63" w:leftChars="30"/>
            </w:pPr>
            <w:r>
              <w:t>招标</w:t>
            </w:r>
            <w:r>
              <w:rPr>
                <w:rFonts w:hint="eastAsia"/>
              </w:rPr>
              <w:t>代理</w:t>
            </w:r>
            <w:r>
              <w:t>服务费：</w:t>
            </w:r>
            <w:r>
              <w:rPr>
                <w:rFonts w:hint="eastAsia"/>
              </w:rPr>
              <w:t>依据国家计委发改价格【2011】534号和琼价费管【2011】225号收费标准按九折计算，由中标人在领取中标通知书前向招标代理机构交纳招标服务费及论证费，并一次性转入公司账户。</w:t>
            </w:r>
          </w:p>
          <w:p>
            <w:pPr>
              <w:snapToGrid w:val="0"/>
              <w:spacing w:line="500" w:lineRule="exact"/>
              <w:ind w:left="63" w:leftChars="30"/>
            </w:pPr>
            <w:r>
              <w:rPr>
                <w:rFonts w:hint="eastAsia"/>
              </w:rPr>
              <w:t>账户名称：海南政坤招标代理有限公司</w:t>
            </w:r>
          </w:p>
          <w:p>
            <w:pPr>
              <w:snapToGrid w:val="0"/>
              <w:spacing w:line="500" w:lineRule="exact"/>
              <w:ind w:left="63" w:leftChars="30"/>
            </w:pPr>
            <w:r>
              <w:rPr>
                <w:rFonts w:hint="eastAsia"/>
              </w:rPr>
              <w:t>开 户 行：海口农村商业银行股份有限公司国兴支行</w:t>
            </w:r>
          </w:p>
          <w:p>
            <w:pPr>
              <w:snapToGrid w:val="0"/>
              <w:spacing w:line="500" w:lineRule="exact"/>
              <w:ind w:left="63" w:leftChars="30"/>
            </w:pPr>
            <w:r>
              <w:rPr>
                <w:rFonts w:hint="eastAsia"/>
              </w:rPr>
              <w:t>账    号：1011 0869 0000 0146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8942" w:type="dxa"/>
            <w:gridSpan w:val="2"/>
            <w:noWrap/>
            <w:vAlign w:val="center"/>
          </w:tcPr>
          <w:p>
            <w:pPr>
              <w:snapToGrid w:val="0"/>
              <w:spacing w:line="500" w:lineRule="exact"/>
              <w:ind w:left="63" w:leftChars="30" w:firstLine="2940" w:firstLineChars="1400"/>
              <w:rPr>
                <w:kern w:val="11"/>
                <w:szCs w:val="21"/>
              </w:rPr>
            </w:pPr>
            <w:r>
              <w:rPr>
                <w:kern w:val="11"/>
                <w:szCs w:val="21"/>
              </w:rPr>
              <w:t>适用于本投标人须知其他条款</w:t>
            </w:r>
          </w:p>
          <w:p>
            <w:pPr>
              <w:snapToGrid w:val="0"/>
              <w:spacing w:line="500" w:lineRule="exact"/>
              <w:ind w:left="63" w:leftChars="30"/>
            </w:pPr>
            <w:r>
              <w:t>适用法律：</w:t>
            </w:r>
          </w:p>
          <w:p>
            <w:pPr>
              <w:snapToGrid w:val="0"/>
              <w:spacing w:line="500" w:lineRule="exact"/>
              <w:ind w:left="63" w:leftChars="30"/>
            </w:pPr>
            <w:r>
              <w:t>《中华人民共和国招标投标法》《中华人民共和国招标投标法实施条例》</w:t>
            </w:r>
          </w:p>
          <w:p>
            <w:pPr>
              <w:snapToGrid w:val="0"/>
              <w:spacing w:line="500" w:lineRule="exact"/>
              <w:rPr>
                <w:kern w:val="11"/>
                <w:szCs w:val="21"/>
              </w:rPr>
            </w:pPr>
            <w:r>
              <w:t>《机电产品国际招标投标实施办法（试行）》（商务部2014年第1号令）等相关规定</w:t>
            </w:r>
          </w:p>
        </w:tc>
      </w:tr>
    </w:tbl>
    <w:p>
      <w:pPr>
        <w:pStyle w:val="10"/>
        <w:pageBreakBefore/>
        <w:tabs>
          <w:tab w:val="right" w:leader="middleDot" w:pos="8820"/>
        </w:tabs>
        <w:snapToGrid w:val="0"/>
        <w:spacing w:line="500" w:lineRule="exact"/>
        <w:jc w:val="center"/>
        <w:rPr>
          <w:rFonts w:ascii="Times New Roman" w:hAnsi="Times New Roman" w:eastAsia="方正楷体简体"/>
          <w:b/>
          <w:bCs/>
          <w:sz w:val="36"/>
          <w:szCs w:val="36"/>
        </w:rPr>
      </w:pPr>
      <w:r>
        <w:rPr>
          <w:rFonts w:ascii="Times New Roman" w:hAnsi="Times New Roman" w:eastAsia="方正楷体简体"/>
          <w:b/>
          <w:bCs/>
          <w:sz w:val="36"/>
          <w:szCs w:val="36"/>
        </w:rPr>
        <w:t>第七章 合同专用条款</w:t>
      </w:r>
    </w:p>
    <w:p>
      <w:pPr>
        <w:spacing w:line="500" w:lineRule="exact"/>
        <w:jc w:val="center"/>
        <w:rPr>
          <w:rFonts w:eastAsia="方正楷体简体"/>
          <w:sz w:val="36"/>
          <w:szCs w:val="36"/>
        </w:rPr>
      </w:pPr>
    </w:p>
    <w:p>
      <w:pPr>
        <w:pStyle w:val="12"/>
        <w:keepNext w:val="0"/>
        <w:keepLines w:val="0"/>
        <w:pageBreakBefore w:val="0"/>
        <w:widowControl w:val="0"/>
        <w:kinsoku/>
        <w:wordWrap/>
        <w:overflowPunct/>
        <w:topLinePunct w:val="0"/>
        <w:autoSpaceDE/>
        <w:autoSpaceDN/>
        <w:bidi w:val="0"/>
        <w:adjustRightInd/>
        <w:snapToGrid w:val="0"/>
        <w:spacing w:line="490" w:lineRule="exact"/>
        <w:ind w:firstLine="480" w:firstLineChars="200"/>
        <w:textAlignment w:val="auto"/>
        <w:rPr>
          <w:rFonts w:ascii="Times New Roman" w:hAnsi="Times New Roman"/>
          <w:sz w:val="24"/>
          <w:szCs w:val="24"/>
        </w:rPr>
      </w:pPr>
      <w:r>
        <w:rPr>
          <w:rFonts w:ascii="Times New Roman" w:hAnsi="Times New Roman"/>
          <w:sz w:val="24"/>
          <w:szCs w:val="24"/>
        </w:rPr>
        <w:t>“第三章 合同格式”及“本章合同专用条款”不适用，中标人与</w:t>
      </w:r>
      <w:r>
        <w:rPr>
          <w:rFonts w:ascii="Times New Roman" w:hAnsi="Times New Roman"/>
          <w:sz w:val="24"/>
        </w:rPr>
        <w:t>招标人签订的合同版本另行商定。</w:t>
      </w:r>
      <w:r>
        <w:rPr>
          <w:rFonts w:ascii="Times New Roman" w:hAnsi="Times New Roman"/>
          <w:sz w:val="24"/>
          <w:szCs w:val="24"/>
        </w:rPr>
        <w:t>以下为商务条款，投标文件应对此逐条响应，若有偏离，应在商务条款响应/偏离表中明确列出。</w:t>
      </w:r>
    </w:p>
    <w:p>
      <w:pPr>
        <w:keepNext w:val="0"/>
        <w:keepLines w:val="0"/>
        <w:pageBreakBefore w:val="0"/>
        <w:widowControl w:val="0"/>
        <w:kinsoku/>
        <w:wordWrap/>
        <w:overflowPunct/>
        <w:topLinePunct w:val="0"/>
        <w:autoSpaceDE/>
        <w:autoSpaceDN/>
        <w:bidi w:val="0"/>
        <w:adjustRightInd/>
        <w:spacing w:line="490" w:lineRule="exact"/>
        <w:jc w:val="center"/>
        <w:textAlignment w:val="auto"/>
        <w:rPr>
          <w:rFonts w:eastAsia="黑体"/>
          <w:sz w:val="30"/>
          <w:szCs w:val="30"/>
        </w:rPr>
      </w:pPr>
      <w:r>
        <w:rPr>
          <w:rFonts w:eastAsia="黑体"/>
          <w:sz w:val="30"/>
          <w:szCs w:val="30"/>
        </w:rPr>
        <w:t>商务条款</w:t>
      </w:r>
    </w:p>
    <w:p>
      <w:pPr>
        <w:keepNext w:val="0"/>
        <w:keepLines w:val="0"/>
        <w:pageBreakBefore w:val="0"/>
        <w:widowControl w:val="0"/>
        <w:kinsoku/>
        <w:wordWrap/>
        <w:overflowPunct/>
        <w:topLinePunct w:val="0"/>
        <w:autoSpaceDE/>
        <w:autoSpaceDN/>
        <w:bidi w:val="0"/>
        <w:adjustRightInd/>
        <w:spacing w:line="490" w:lineRule="exact"/>
        <w:textAlignment w:val="auto"/>
        <w:rPr>
          <w:rFonts w:eastAsia="黑体"/>
          <w:bCs/>
          <w:sz w:val="24"/>
        </w:rPr>
      </w:pPr>
      <w:r>
        <w:rPr>
          <w:rFonts w:eastAsia="黑体"/>
          <w:bCs/>
          <w:sz w:val="24"/>
        </w:rPr>
        <w:t>1．交货期及地点：</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1.1 交货期：合同签订生效之日起</w:t>
      </w:r>
      <w:r>
        <w:rPr>
          <w:rFonts w:hint="eastAsia"/>
          <w:sz w:val="24"/>
          <w:u w:val="single"/>
        </w:rPr>
        <w:t>90</w:t>
      </w:r>
      <w:r>
        <w:rPr>
          <w:sz w:val="24"/>
        </w:rPr>
        <w:t>天内交付。</w:t>
      </w:r>
    </w:p>
    <w:p>
      <w:pPr>
        <w:keepNext w:val="0"/>
        <w:keepLines w:val="0"/>
        <w:pageBreakBefore w:val="0"/>
        <w:widowControl w:val="0"/>
        <w:kinsoku/>
        <w:wordWrap/>
        <w:overflowPunct/>
        <w:topLinePunct w:val="0"/>
        <w:autoSpaceDE/>
        <w:autoSpaceDN/>
        <w:bidi w:val="0"/>
        <w:adjustRightInd/>
        <w:spacing w:line="490" w:lineRule="exact"/>
        <w:textAlignment w:val="auto"/>
        <w:rPr>
          <w:rFonts w:hint="eastAsia" w:eastAsia="宋体"/>
          <w:sz w:val="24"/>
          <w:lang w:eastAsia="zh-CN"/>
        </w:rPr>
      </w:pPr>
      <w:r>
        <w:rPr>
          <w:sz w:val="24"/>
        </w:rPr>
        <w:t>1.2 交货地点：</w:t>
      </w:r>
      <w:r>
        <w:rPr>
          <w:rFonts w:hint="eastAsia"/>
          <w:sz w:val="24"/>
          <w:lang w:eastAsia="zh-CN"/>
        </w:rPr>
        <w:t>广东省中医院海南医院</w:t>
      </w:r>
    </w:p>
    <w:p>
      <w:pPr>
        <w:keepNext w:val="0"/>
        <w:keepLines w:val="0"/>
        <w:pageBreakBefore w:val="0"/>
        <w:widowControl w:val="0"/>
        <w:kinsoku/>
        <w:wordWrap/>
        <w:overflowPunct/>
        <w:topLinePunct w:val="0"/>
        <w:autoSpaceDE/>
        <w:autoSpaceDN/>
        <w:bidi w:val="0"/>
        <w:adjustRightInd/>
        <w:spacing w:line="490" w:lineRule="exact"/>
        <w:textAlignment w:val="auto"/>
        <w:rPr>
          <w:sz w:val="24"/>
          <w:highlight w:val="none"/>
        </w:rPr>
      </w:pPr>
      <w:r>
        <w:rPr>
          <w:sz w:val="24"/>
        </w:rPr>
        <w:t>1.3 其他：货物到达安装现场的运输、装卸及搬运，由供应商完成；货物到达安装现场</w:t>
      </w:r>
      <w:r>
        <w:rPr>
          <w:sz w:val="24"/>
          <w:highlight w:val="none"/>
        </w:rPr>
        <w:t>前，采购人不</w:t>
      </w:r>
      <w:r>
        <w:rPr>
          <w:bCs/>
          <w:sz w:val="24"/>
          <w:szCs w:val="24"/>
          <w:highlight w:val="none"/>
        </w:rPr>
        <w:t>予签收，若因此</w:t>
      </w:r>
      <w:r>
        <w:rPr>
          <w:sz w:val="24"/>
          <w:highlight w:val="none"/>
        </w:rPr>
        <w:t>与物流公司产生纠纷，由供应商自行解决。</w:t>
      </w:r>
    </w:p>
    <w:p>
      <w:pPr>
        <w:keepNext w:val="0"/>
        <w:keepLines w:val="0"/>
        <w:pageBreakBefore w:val="0"/>
        <w:widowControl w:val="0"/>
        <w:kinsoku/>
        <w:wordWrap/>
        <w:overflowPunct/>
        <w:topLinePunct w:val="0"/>
        <w:autoSpaceDE/>
        <w:autoSpaceDN/>
        <w:bidi w:val="0"/>
        <w:adjustRightInd/>
        <w:spacing w:line="490" w:lineRule="exact"/>
        <w:textAlignment w:val="auto"/>
        <w:rPr>
          <w:rFonts w:eastAsia="黑体"/>
          <w:bCs/>
          <w:sz w:val="24"/>
          <w:highlight w:val="none"/>
        </w:rPr>
      </w:pPr>
      <w:r>
        <w:rPr>
          <w:rFonts w:eastAsia="黑体"/>
          <w:bCs/>
          <w:sz w:val="24"/>
          <w:highlight w:val="none"/>
        </w:rPr>
        <w:t>2．付款方法和条件：</w:t>
      </w:r>
    </w:p>
    <w:p>
      <w:pPr>
        <w:keepNext w:val="0"/>
        <w:keepLines w:val="0"/>
        <w:pageBreakBefore w:val="0"/>
        <w:widowControl w:val="0"/>
        <w:kinsoku/>
        <w:wordWrap/>
        <w:overflowPunct/>
        <w:topLinePunct w:val="0"/>
        <w:autoSpaceDE/>
        <w:autoSpaceDN/>
        <w:bidi w:val="0"/>
        <w:adjustRightInd/>
        <w:spacing w:line="490" w:lineRule="exact"/>
        <w:textAlignment w:val="auto"/>
        <w:rPr>
          <w:sz w:val="24"/>
          <w:highlight w:val="none"/>
        </w:rPr>
      </w:pPr>
      <w:r>
        <w:rPr>
          <w:rFonts w:hint="eastAsia"/>
          <w:sz w:val="24"/>
          <w:highlight w:val="none"/>
        </w:rPr>
        <w:t>合同签订后，采购人在收到发票后十五个工作日内预付65%货款，余款款项在货物交付安装并验收合格之日起，收到发票后一个月内支付。（具体以签订合同为准）。</w:t>
      </w:r>
    </w:p>
    <w:p>
      <w:pPr>
        <w:keepNext w:val="0"/>
        <w:keepLines w:val="0"/>
        <w:pageBreakBefore w:val="0"/>
        <w:widowControl w:val="0"/>
        <w:kinsoku/>
        <w:wordWrap/>
        <w:overflowPunct/>
        <w:topLinePunct w:val="0"/>
        <w:autoSpaceDE/>
        <w:autoSpaceDN/>
        <w:bidi w:val="0"/>
        <w:adjustRightInd/>
        <w:spacing w:line="490" w:lineRule="exact"/>
        <w:textAlignment w:val="auto"/>
        <w:rPr>
          <w:rFonts w:eastAsia="黑体"/>
          <w:bCs/>
          <w:sz w:val="24"/>
          <w:highlight w:val="none"/>
        </w:rPr>
      </w:pPr>
      <w:r>
        <w:rPr>
          <w:rFonts w:eastAsia="黑体"/>
          <w:bCs/>
          <w:sz w:val="24"/>
          <w:highlight w:val="none"/>
        </w:rPr>
        <w:t>3.质量保证：</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3.1设备外观清洁，标记编号以及表面显示等字体清晰，明确。</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3.2所有产品、设备提供出厂合格证等质量证明文件。</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3.3所投的产品必须是中国范围内合法销售，原装、全新、并完全符合用户要求的产品。</w:t>
      </w:r>
    </w:p>
    <w:p>
      <w:pPr>
        <w:keepNext w:val="0"/>
        <w:keepLines w:val="0"/>
        <w:pageBreakBefore w:val="0"/>
        <w:widowControl w:val="0"/>
        <w:kinsoku/>
        <w:wordWrap/>
        <w:overflowPunct/>
        <w:topLinePunct w:val="0"/>
        <w:autoSpaceDE/>
        <w:autoSpaceDN/>
        <w:bidi w:val="0"/>
        <w:adjustRightInd/>
        <w:spacing w:line="490" w:lineRule="exact"/>
        <w:textAlignment w:val="auto"/>
        <w:rPr>
          <w:rFonts w:eastAsia="黑体"/>
          <w:bCs/>
          <w:sz w:val="24"/>
        </w:rPr>
      </w:pPr>
      <w:r>
        <w:rPr>
          <w:rFonts w:eastAsia="黑体"/>
          <w:bCs/>
          <w:sz w:val="24"/>
        </w:rPr>
        <w:t>4.安装调试及验收：</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4.1卖方负责设备安装、调试。</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4.2在货物到达使用单位后</w:t>
      </w:r>
      <w:r>
        <w:rPr>
          <w:rFonts w:hint="eastAsia"/>
          <w:sz w:val="24"/>
        </w:rPr>
        <w:t>，</w:t>
      </w:r>
      <w:r>
        <w:rPr>
          <w:sz w:val="24"/>
        </w:rPr>
        <w:t>卖方应在7天内派工程技术人员到达现场,在买方技术人员在场的情况下开箱清点货物</w:t>
      </w:r>
      <w:r>
        <w:rPr>
          <w:rFonts w:hint="eastAsia"/>
          <w:sz w:val="24"/>
        </w:rPr>
        <w:t>，</w:t>
      </w:r>
      <w:r>
        <w:rPr>
          <w:sz w:val="24"/>
        </w:rPr>
        <w:t>组织安装,调试,并承担由此发生一切费用。</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4.3卖方应提供现场技术培训</w:t>
      </w:r>
      <w:r>
        <w:rPr>
          <w:rFonts w:hint="eastAsia"/>
          <w:sz w:val="24"/>
        </w:rPr>
        <w:t>，</w:t>
      </w:r>
      <w:r>
        <w:rPr>
          <w:sz w:val="24"/>
        </w:rPr>
        <w:t>保证使用人员正常操作设备的各种功能。</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4.4验收标准以招标文件技术参数及要求和相关行业标准为准。</w:t>
      </w:r>
    </w:p>
    <w:p>
      <w:pPr>
        <w:keepNext w:val="0"/>
        <w:keepLines w:val="0"/>
        <w:pageBreakBefore w:val="0"/>
        <w:widowControl w:val="0"/>
        <w:kinsoku/>
        <w:wordWrap/>
        <w:overflowPunct/>
        <w:topLinePunct w:val="0"/>
        <w:autoSpaceDE/>
        <w:autoSpaceDN/>
        <w:bidi w:val="0"/>
        <w:adjustRightInd/>
        <w:spacing w:line="490" w:lineRule="exact"/>
        <w:textAlignment w:val="auto"/>
        <w:rPr>
          <w:rFonts w:eastAsia="黑体"/>
          <w:bCs/>
          <w:sz w:val="24"/>
        </w:rPr>
      </w:pPr>
      <w:r>
        <w:rPr>
          <w:rFonts w:eastAsia="黑体"/>
          <w:bCs/>
          <w:sz w:val="24"/>
        </w:rPr>
        <w:t>5.售后服务：</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5.1提供有关资料及售后服务承诺。</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highlight w:val="none"/>
        </w:rPr>
        <w:t>5.</w:t>
      </w:r>
      <w:r>
        <w:rPr>
          <w:rFonts w:hint="eastAsia"/>
          <w:sz w:val="24"/>
          <w:highlight w:val="none"/>
          <w:lang w:val="en-US" w:eastAsia="zh-CN"/>
        </w:rPr>
        <w:t>2</w:t>
      </w:r>
      <w:r>
        <w:rPr>
          <w:sz w:val="24"/>
          <w:highlight w:val="none"/>
        </w:rPr>
        <w:t>终身零配件供应：投标</w:t>
      </w:r>
      <w:r>
        <w:rPr>
          <w:sz w:val="24"/>
        </w:rPr>
        <w:t>人应保证设备停产后的备件供应保证10年，并以优惠的价格提供该设备所需的维修零配件。</w:t>
      </w:r>
    </w:p>
    <w:p>
      <w:pPr>
        <w:keepNext w:val="0"/>
        <w:keepLines w:val="0"/>
        <w:pageBreakBefore w:val="0"/>
        <w:widowControl w:val="0"/>
        <w:kinsoku/>
        <w:wordWrap/>
        <w:overflowPunct/>
        <w:topLinePunct w:val="0"/>
        <w:autoSpaceDE/>
        <w:autoSpaceDN/>
        <w:bidi w:val="0"/>
        <w:adjustRightInd/>
        <w:spacing w:line="490" w:lineRule="exact"/>
        <w:textAlignment w:val="auto"/>
        <w:rPr>
          <w:sz w:val="24"/>
          <w:highlight w:val="none"/>
        </w:rPr>
      </w:pPr>
      <w:r>
        <w:rPr>
          <w:sz w:val="24"/>
        </w:rPr>
        <w:t>5.</w:t>
      </w:r>
      <w:r>
        <w:rPr>
          <w:rFonts w:hint="eastAsia"/>
          <w:sz w:val="24"/>
          <w:lang w:val="en-US" w:eastAsia="zh-CN"/>
        </w:rPr>
        <w:t>3</w:t>
      </w:r>
      <w:r>
        <w:rPr>
          <w:sz w:val="24"/>
        </w:rPr>
        <w:t>质保</w:t>
      </w:r>
      <w:r>
        <w:rPr>
          <w:sz w:val="24"/>
          <w:highlight w:val="none"/>
        </w:rPr>
        <w:t>期后，卖方应向用户提供及时的、优质的、价格优惠的技术服务和备品备件供应。</w:t>
      </w:r>
    </w:p>
    <w:p>
      <w:pPr>
        <w:pStyle w:val="10"/>
        <w:keepNext w:val="0"/>
        <w:keepLines w:val="0"/>
        <w:pageBreakBefore w:val="0"/>
        <w:widowControl w:val="0"/>
        <w:kinsoku/>
        <w:wordWrap/>
        <w:overflowPunct/>
        <w:topLinePunct w:val="0"/>
        <w:autoSpaceDE/>
        <w:autoSpaceDN/>
        <w:bidi w:val="0"/>
        <w:adjustRightInd/>
        <w:snapToGrid w:val="0"/>
        <w:spacing w:line="490" w:lineRule="exact"/>
        <w:textAlignment w:val="auto"/>
        <w:rPr>
          <w:rFonts w:ascii="Times New Roman" w:hAnsi="Times New Roman"/>
          <w:sz w:val="24"/>
          <w:szCs w:val="24"/>
          <w:highlight w:val="none"/>
        </w:rPr>
      </w:pPr>
      <w:r>
        <w:rPr>
          <w:sz w:val="24"/>
          <w:szCs w:val="24"/>
          <w:highlight w:val="none"/>
        </w:rPr>
        <w:t>★</w:t>
      </w:r>
      <w:r>
        <w:rPr>
          <w:rFonts w:ascii="Times New Roman" w:hAnsi="Times New Roman"/>
          <w:sz w:val="24"/>
          <w:szCs w:val="24"/>
          <w:highlight w:val="none"/>
        </w:rPr>
        <w:t>5.</w:t>
      </w:r>
      <w:r>
        <w:rPr>
          <w:rFonts w:hint="eastAsia" w:ascii="Times New Roman" w:hAnsi="Times New Roman"/>
          <w:sz w:val="24"/>
          <w:szCs w:val="24"/>
          <w:highlight w:val="none"/>
          <w:lang w:val="en-US" w:eastAsia="zh-CN"/>
        </w:rPr>
        <w:t>4</w:t>
      </w:r>
      <w:r>
        <w:rPr>
          <w:rFonts w:ascii="Times New Roman" w:hAnsi="Times New Roman"/>
          <w:sz w:val="24"/>
          <w:szCs w:val="24"/>
          <w:highlight w:val="none"/>
        </w:rPr>
        <w:t>设备质保期按原厂商标准执行，</w:t>
      </w:r>
      <w:r>
        <w:rPr>
          <w:rFonts w:hint="eastAsia" w:ascii="Times New Roman" w:hAnsi="Times New Roman"/>
          <w:b/>
          <w:bCs/>
          <w:sz w:val="24"/>
          <w:szCs w:val="24"/>
          <w:highlight w:val="none"/>
          <w:u w:val="single"/>
          <w:lang w:val="en-US" w:eastAsia="zh-CN"/>
        </w:rPr>
        <w:t>设备质保期限3年，配套器械质保期限1年，</w:t>
      </w:r>
      <w:r>
        <w:rPr>
          <w:rFonts w:ascii="Times New Roman" w:hAnsi="Times New Roman"/>
          <w:spacing w:val="-9"/>
          <w:sz w:val="24"/>
          <w:szCs w:val="24"/>
          <w:highlight w:val="none"/>
        </w:rPr>
        <w:t>质保期自设备验收之日起计算，保修费用已计入</w:t>
      </w:r>
      <w:r>
        <w:rPr>
          <w:rFonts w:hint="eastAsia" w:ascii="Times New Roman" w:hAnsi="Times New Roman"/>
          <w:spacing w:val="-9"/>
          <w:sz w:val="24"/>
          <w:szCs w:val="24"/>
          <w:highlight w:val="none"/>
          <w:lang w:val="en-US" w:eastAsia="zh-CN"/>
        </w:rPr>
        <w:t>合同</w:t>
      </w:r>
      <w:r>
        <w:rPr>
          <w:rFonts w:ascii="Times New Roman" w:hAnsi="Times New Roman"/>
          <w:spacing w:val="-9"/>
          <w:sz w:val="24"/>
          <w:szCs w:val="24"/>
          <w:highlight w:val="none"/>
        </w:rPr>
        <w:t>总价。</w:t>
      </w:r>
    </w:p>
    <w:p>
      <w:pPr>
        <w:pStyle w:val="10"/>
        <w:keepNext w:val="0"/>
        <w:keepLines w:val="0"/>
        <w:pageBreakBefore w:val="0"/>
        <w:widowControl w:val="0"/>
        <w:tabs>
          <w:tab w:val="left" w:pos="0"/>
        </w:tabs>
        <w:kinsoku/>
        <w:wordWrap/>
        <w:overflowPunct/>
        <w:topLinePunct w:val="0"/>
        <w:autoSpaceDE/>
        <w:autoSpaceDN/>
        <w:bidi w:val="0"/>
        <w:adjustRightInd/>
        <w:snapToGrid w:val="0"/>
        <w:spacing w:line="490" w:lineRule="exact"/>
        <w:ind w:left="17" w:hanging="16" w:hangingChars="7"/>
        <w:textAlignment w:val="auto"/>
        <w:rPr>
          <w:rFonts w:ascii="Times New Roman" w:hAnsi="Times New Roman"/>
          <w:sz w:val="24"/>
          <w:szCs w:val="24"/>
          <w:highlight w:val="none"/>
        </w:rPr>
      </w:pPr>
      <w:r>
        <w:rPr>
          <w:rFonts w:ascii="Times New Roman" w:hAnsi="Times New Roman"/>
          <w:sz w:val="24"/>
          <w:szCs w:val="24"/>
          <w:highlight w:val="none"/>
        </w:rPr>
        <w:t>5.</w:t>
      </w:r>
      <w:r>
        <w:rPr>
          <w:rFonts w:hint="eastAsia" w:ascii="Times New Roman" w:hAnsi="Times New Roman"/>
          <w:sz w:val="24"/>
          <w:szCs w:val="24"/>
          <w:highlight w:val="none"/>
          <w:lang w:val="en-US" w:eastAsia="zh-CN"/>
        </w:rPr>
        <w:t>5</w:t>
      </w:r>
      <w:r>
        <w:rPr>
          <w:rFonts w:ascii="Times New Roman" w:hAnsi="Times New Roman"/>
          <w:sz w:val="24"/>
          <w:highlight w:val="none"/>
        </w:rPr>
        <w:t>卖方</w:t>
      </w:r>
      <w:r>
        <w:rPr>
          <w:rFonts w:ascii="Times New Roman" w:hAnsi="Times New Roman"/>
          <w:sz w:val="24"/>
          <w:szCs w:val="24"/>
          <w:highlight w:val="none"/>
        </w:rPr>
        <w:t>应提供满足设备质保期内正常使用的备品备件，其费用应包括在投标价格之内。</w:t>
      </w:r>
    </w:p>
    <w:p>
      <w:pPr>
        <w:pStyle w:val="10"/>
        <w:keepNext w:val="0"/>
        <w:keepLines w:val="0"/>
        <w:pageBreakBefore w:val="0"/>
        <w:widowControl w:val="0"/>
        <w:kinsoku/>
        <w:wordWrap/>
        <w:overflowPunct/>
        <w:topLinePunct w:val="0"/>
        <w:autoSpaceDE/>
        <w:autoSpaceDN/>
        <w:bidi w:val="0"/>
        <w:adjustRightInd/>
        <w:snapToGrid w:val="0"/>
        <w:spacing w:line="490" w:lineRule="exact"/>
        <w:ind w:left="77" w:hanging="76" w:hangingChars="32"/>
        <w:textAlignment w:val="auto"/>
        <w:rPr>
          <w:rFonts w:ascii="Times New Roman" w:hAnsi="Times New Roman"/>
          <w:sz w:val="24"/>
          <w:szCs w:val="24"/>
        </w:rPr>
      </w:pPr>
      <w:r>
        <w:rPr>
          <w:rFonts w:ascii="Times New Roman" w:hAnsi="Times New Roman"/>
          <w:sz w:val="24"/>
          <w:szCs w:val="24"/>
          <w:highlight w:val="none"/>
        </w:rPr>
        <w:t>5.</w:t>
      </w:r>
      <w:r>
        <w:rPr>
          <w:rFonts w:hint="eastAsia" w:ascii="Times New Roman" w:hAnsi="Times New Roman"/>
          <w:sz w:val="24"/>
          <w:szCs w:val="24"/>
          <w:highlight w:val="none"/>
          <w:lang w:val="en-US" w:eastAsia="zh-CN"/>
        </w:rPr>
        <w:t>6</w:t>
      </w:r>
      <w:r>
        <w:rPr>
          <w:rFonts w:ascii="Times New Roman" w:hAnsi="Times New Roman"/>
          <w:sz w:val="24"/>
          <w:szCs w:val="24"/>
          <w:highlight w:val="none"/>
        </w:rPr>
        <w:t>质保期内</w:t>
      </w:r>
      <w:r>
        <w:rPr>
          <w:rFonts w:ascii="Times New Roman" w:hAnsi="Times New Roman"/>
          <w:sz w:val="24"/>
          <w:highlight w:val="none"/>
        </w:rPr>
        <w:t>卖方</w:t>
      </w:r>
      <w:r>
        <w:rPr>
          <w:rFonts w:ascii="Times New Roman" w:hAnsi="Times New Roman"/>
          <w:sz w:val="24"/>
          <w:szCs w:val="24"/>
          <w:highlight w:val="none"/>
        </w:rPr>
        <w:t>提供上门保修，即由供货商派人员到用户现场维护，</w:t>
      </w:r>
      <w:r>
        <w:rPr>
          <w:rFonts w:hint="eastAsia" w:ascii="Times New Roman" w:hAnsi="Times New Roman"/>
          <w:sz w:val="24"/>
          <w:szCs w:val="24"/>
          <w:highlight w:val="none"/>
        </w:rPr>
        <w:t>对设备每年提供至少4次定期维护、保养，计划性定期的维修服务检测包括设备清洁、性能测试及校准</w:t>
      </w:r>
      <w:r>
        <w:rPr>
          <w:rFonts w:hint="eastAsia" w:ascii="Times New Roman" w:hAnsi="Times New Roman"/>
          <w:sz w:val="24"/>
          <w:szCs w:val="24"/>
          <w:highlight w:val="none"/>
          <w:lang w:eastAsia="zh-CN"/>
        </w:rPr>
        <w:t>，</w:t>
      </w:r>
      <w:r>
        <w:rPr>
          <w:rFonts w:ascii="Times New Roman" w:hAnsi="Times New Roman"/>
          <w:sz w:val="24"/>
          <w:szCs w:val="24"/>
          <w:highlight w:val="none"/>
        </w:rPr>
        <w:t>由此产生的费用均由供货商承担。质保期内，卖方必须根据用户要求负责进行售后技术支持和服务，对于非用户认为原</w:t>
      </w:r>
      <w:r>
        <w:rPr>
          <w:rFonts w:ascii="Times New Roman" w:hAnsi="Times New Roman"/>
          <w:sz w:val="24"/>
          <w:szCs w:val="24"/>
        </w:rPr>
        <w:t>因而出现产品质量及安装问题，由卖方负责包修、包换或包退，并承担由此而产生的一切费用。</w:t>
      </w:r>
    </w:p>
    <w:p>
      <w:pPr>
        <w:pStyle w:val="10"/>
        <w:keepNext w:val="0"/>
        <w:keepLines w:val="0"/>
        <w:pageBreakBefore w:val="0"/>
        <w:widowControl w:val="0"/>
        <w:kinsoku/>
        <w:wordWrap/>
        <w:overflowPunct/>
        <w:topLinePunct w:val="0"/>
        <w:autoSpaceDE/>
        <w:autoSpaceDN/>
        <w:bidi w:val="0"/>
        <w:adjustRightInd/>
        <w:snapToGrid w:val="0"/>
        <w:spacing w:line="490" w:lineRule="exact"/>
        <w:ind w:left="14" w:hanging="14" w:hangingChars="6"/>
        <w:textAlignment w:val="auto"/>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lang w:val="en-US" w:eastAsia="zh-CN"/>
        </w:rPr>
        <w:t>7</w:t>
      </w:r>
      <w:r>
        <w:rPr>
          <w:rFonts w:ascii="Times New Roman" w:hAnsi="Times New Roman"/>
          <w:sz w:val="24"/>
        </w:rPr>
        <w:t>卖方在国内应有24小时电话维修系统，并列出</w:t>
      </w:r>
      <w:r>
        <w:rPr>
          <w:rFonts w:ascii="Times New Roman" w:hAnsi="Times New Roman"/>
          <w:b/>
          <w:bCs/>
          <w:sz w:val="24"/>
        </w:rPr>
        <w:t>工程师名单、联系电话、通讯地址及备件库地址和备件的详细目录</w:t>
      </w:r>
      <w:r>
        <w:rPr>
          <w:rFonts w:ascii="Times New Roman" w:hAnsi="Times New Roman"/>
          <w:sz w:val="24"/>
          <w:szCs w:val="24"/>
        </w:rPr>
        <w:t>。服务期间，</w:t>
      </w:r>
      <w:r>
        <w:rPr>
          <w:rFonts w:ascii="Times New Roman" w:hAnsi="Times New Roman"/>
          <w:sz w:val="24"/>
        </w:rPr>
        <w:t>卖方</w:t>
      </w:r>
      <w:r>
        <w:rPr>
          <w:rFonts w:ascii="Times New Roman" w:hAnsi="Times New Roman"/>
          <w:sz w:val="24"/>
          <w:szCs w:val="24"/>
        </w:rPr>
        <w:t>应提供但不限于下述服务：</w:t>
      </w:r>
      <w:r>
        <w:rPr>
          <w:rFonts w:ascii="Times New Roman" w:hAnsi="Times New Roman"/>
          <w:b/>
          <w:bCs/>
          <w:sz w:val="24"/>
          <w:szCs w:val="24"/>
        </w:rPr>
        <w:t>在保修期间提供免费保修，7*24小时上门服务，免费更换故障配件</w:t>
      </w:r>
      <w:r>
        <w:rPr>
          <w:rFonts w:ascii="Times New Roman" w:hAnsi="Times New Roman"/>
          <w:sz w:val="24"/>
          <w:szCs w:val="24"/>
        </w:rPr>
        <w:t>。提供7*24小时技术支持和服务，免费质保期内，保证在接到故障电话后响应时间1小时内，如需现场解决，保证24小时内派出技术服务人员赶到现场。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10"/>
        <w:keepNext w:val="0"/>
        <w:keepLines w:val="0"/>
        <w:pageBreakBefore w:val="0"/>
        <w:widowControl w:val="0"/>
        <w:tabs>
          <w:tab w:val="left" w:pos="0"/>
        </w:tabs>
        <w:kinsoku/>
        <w:wordWrap/>
        <w:overflowPunct/>
        <w:topLinePunct w:val="0"/>
        <w:autoSpaceDE/>
        <w:autoSpaceDN/>
        <w:bidi w:val="0"/>
        <w:adjustRightInd/>
        <w:snapToGrid w:val="0"/>
        <w:spacing w:line="490" w:lineRule="exact"/>
        <w:ind w:left="77" w:hanging="76" w:hangingChars="32"/>
        <w:textAlignment w:val="auto"/>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lang w:val="en-US" w:eastAsia="zh-CN"/>
        </w:rPr>
        <w:t>8</w:t>
      </w:r>
      <w:r>
        <w:rPr>
          <w:rFonts w:ascii="Times New Roman" w:hAnsi="Times New Roman"/>
          <w:sz w:val="24"/>
          <w:szCs w:val="24"/>
        </w:rPr>
        <w:t>对质保期内的故障报修，如</w:t>
      </w:r>
      <w:r>
        <w:rPr>
          <w:rFonts w:ascii="Times New Roman" w:hAnsi="Times New Roman"/>
          <w:sz w:val="24"/>
        </w:rPr>
        <w:t>卖方</w:t>
      </w:r>
      <w:r>
        <w:rPr>
          <w:rFonts w:ascii="Times New Roman" w:hAnsi="Times New Roman"/>
          <w:sz w:val="24"/>
          <w:szCs w:val="24"/>
        </w:rPr>
        <w:t>未能做到上款的服务承诺，用户可采取必要的补救措施，但其风险和费用由</w:t>
      </w:r>
      <w:r>
        <w:rPr>
          <w:rFonts w:ascii="Times New Roman" w:hAnsi="Times New Roman"/>
          <w:sz w:val="24"/>
        </w:rPr>
        <w:t>卖方</w:t>
      </w:r>
      <w:r>
        <w:rPr>
          <w:rFonts w:ascii="Times New Roman" w:hAnsi="Times New Roman"/>
          <w:sz w:val="24"/>
          <w:szCs w:val="24"/>
        </w:rPr>
        <w:t>承担，由于供应商的保证服务不到位，质保期的 到期时间将顺延。</w:t>
      </w:r>
    </w:p>
    <w:p>
      <w:pPr>
        <w:pStyle w:val="10"/>
        <w:keepNext w:val="0"/>
        <w:keepLines w:val="0"/>
        <w:pageBreakBefore w:val="0"/>
        <w:widowControl w:val="0"/>
        <w:kinsoku/>
        <w:wordWrap/>
        <w:overflowPunct/>
        <w:topLinePunct w:val="0"/>
        <w:autoSpaceDE/>
        <w:autoSpaceDN/>
        <w:bidi w:val="0"/>
        <w:adjustRightInd/>
        <w:snapToGrid w:val="0"/>
        <w:spacing w:line="490" w:lineRule="exact"/>
        <w:textAlignment w:val="auto"/>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lang w:val="en-US" w:eastAsia="zh-CN"/>
        </w:rPr>
        <w:t>9</w:t>
      </w:r>
      <w:r>
        <w:rPr>
          <w:rFonts w:ascii="Times New Roman" w:hAnsi="Times New Roman"/>
          <w:sz w:val="24"/>
          <w:szCs w:val="24"/>
        </w:rPr>
        <w:t xml:space="preserve">质保期内因用户使用、管理不当所造成的损失由用户承担，供应商提供有偿服务。 </w:t>
      </w:r>
    </w:p>
    <w:p>
      <w:pPr>
        <w:pStyle w:val="10"/>
        <w:keepNext w:val="0"/>
        <w:keepLines w:val="0"/>
        <w:pageBreakBefore w:val="0"/>
        <w:widowControl w:val="0"/>
        <w:kinsoku/>
        <w:wordWrap/>
        <w:overflowPunct/>
        <w:topLinePunct w:val="0"/>
        <w:autoSpaceDE/>
        <w:autoSpaceDN/>
        <w:bidi w:val="0"/>
        <w:adjustRightInd/>
        <w:snapToGrid w:val="0"/>
        <w:spacing w:line="490" w:lineRule="exact"/>
        <w:textAlignment w:val="auto"/>
        <w:rPr>
          <w:rFonts w:ascii="Times New Roman" w:hAnsi="Times New Roman"/>
          <w:b/>
          <w:sz w:val="24"/>
          <w:szCs w:val="24"/>
        </w:rPr>
      </w:pPr>
      <w:r>
        <w:rPr>
          <w:rFonts w:ascii="Times New Roman" w:hAnsi="Times New Roman"/>
          <w:sz w:val="24"/>
          <w:szCs w:val="24"/>
        </w:rPr>
        <w:t>5.1</w:t>
      </w:r>
      <w:r>
        <w:rPr>
          <w:rFonts w:hint="eastAsia" w:ascii="Times New Roman" w:hAnsi="Times New Roman"/>
          <w:sz w:val="24"/>
          <w:szCs w:val="24"/>
          <w:lang w:val="en-US" w:eastAsia="zh-CN"/>
        </w:rPr>
        <w:t>0</w:t>
      </w:r>
      <w:r>
        <w:rPr>
          <w:rFonts w:ascii="Times New Roman" w:hAnsi="Times New Roman"/>
          <w:sz w:val="24"/>
          <w:szCs w:val="24"/>
        </w:rPr>
        <w:t>质保期满后，若有零部件出现故障，经权威部门鉴定属于寿命异常问题（明显短于该零部件正常寿命）时，则由供应商负责免费更换及维修。</w:t>
      </w:r>
    </w:p>
    <w:p>
      <w:pPr>
        <w:keepNext w:val="0"/>
        <w:keepLines w:val="0"/>
        <w:pageBreakBefore w:val="0"/>
        <w:widowControl w:val="0"/>
        <w:kinsoku/>
        <w:wordWrap/>
        <w:overflowPunct/>
        <w:topLinePunct w:val="0"/>
        <w:autoSpaceDE/>
        <w:autoSpaceDN/>
        <w:bidi w:val="0"/>
        <w:adjustRightInd/>
        <w:spacing w:line="490" w:lineRule="exact"/>
        <w:textAlignment w:val="auto"/>
        <w:rPr>
          <w:rFonts w:eastAsia="黑体"/>
          <w:bCs/>
          <w:sz w:val="24"/>
        </w:rPr>
      </w:pPr>
      <w:r>
        <w:rPr>
          <w:rFonts w:eastAsia="黑体"/>
          <w:bCs/>
          <w:sz w:val="24"/>
        </w:rPr>
        <w:t>6. 法律管辖及仲裁：</w:t>
      </w:r>
    </w:p>
    <w:p>
      <w:pPr>
        <w:keepNext w:val="0"/>
        <w:keepLines w:val="0"/>
        <w:pageBreakBefore w:val="0"/>
        <w:widowControl w:val="0"/>
        <w:kinsoku/>
        <w:wordWrap/>
        <w:overflowPunct/>
        <w:topLinePunct w:val="0"/>
        <w:autoSpaceDE/>
        <w:autoSpaceDN/>
        <w:bidi w:val="0"/>
        <w:adjustRightInd/>
        <w:spacing w:line="490" w:lineRule="exact"/>
        <w:textAlignment w:val="auto"/>
        <w:rPr>
          <w:sz w:val="24"/>
        </w:rPr>
      </w:pPr>
      <w:r>
        <w:rPr>
          <w:sz w:val="24"/>
        </w:rPr>
        <w:t>买卖双方之合同受中华人民共和国法律之管辖并依其进行解释。如有争议，在双方友好交涉无法解决时，通过中国国际贸易促进仲裁委员会根据中国法律在中国境内进行仲裁。</w:t>
      </w:r>
    </w:p>
    <w:p>
      <w:pPr>
        <w:snapToGrid w:val="0"/>
        <w:spacing w:line="500" w:lineRule="exact"/>
        <w:jc w:val="center"/>
        <w:rPr>
          <w:rFonts w:eastAsia="方正楷体简体"/>
          <w:b/>
          <w:bCs/>
          <w:sz w:val="36"/>
          <w:szCs w:val="36"/>
        </w:rPr>
      </w:pPr>
      <w:r>
        <w:rPr>
          <w:rFonts w:eastAsia="方正楷体简体"/>
          <w:b/>
          <w:bCs/>
          <w:sz w:val="36"/>
          <w:szCs w:val="36"/>
        </w:rPr>
        <w:t>第八章 货物需求一览表及技术规格要求</w:t>
      </w:r>
    </w:p>
    <w:p>
      <w:pPr>
        <w:snapToGrid w:val="0"/>
        <w:spacing w:line="500" w:lineRule="exact"/>
        <w:ind w:hanging="527"/>
        <w:textAlignment w:val="baseline"/>
        <w:rPr>
          <w:b/>
          <w:sz w:val="24"/>
        </w:rPr>
      </w:pPr>
    </w:p>
    <w:p>
      <w:pPr>
        <w:snapToGrid w:val="0"/>
        <w:spacing w:beforeLines="20" w:afterLines="20" w:line="360" w:lineRule="auto"/>
        <w:textAlignment w:val="baseline"/>
        <w:rPr>
          <w:b/>
          <w:sz w:val="28"/>
          <w:szCs w:val="21"/>
        </w:rPr>
      </w:pPr>
      <w:r>
        <w:rPr>
          <w:rFonts w:hint="eastAsia"/>
          <w:b/>
          <w:sz w:val="28"/>
          <w:szCs w:val="21"/>
        </w:rPr>
        <w:t>一、</w:t>
      </w:r>
      <w:r>
        <w:rPr>
          <w:b/>
          <w:sz w:val="28"/>
          <w:szCs w:val="21"/>
        </w:rPr>
        <w:t>货物需求一览表</w:t>
      </w:r>
    </w:p>
    <w:tbl>
      <w:tblPr>
        <w:tblStyle w:val="19"/>
        <w:tblW w:w="5413" w:type="pct"/>
        <w:tblInd w:w="-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9"/>
        <w:gridCol w:w="2578"/>
        <w:gridCol w:w="930"/>
        <w:gridCol w:w="899"/>
        <w:gridCol w:w="1367"/>
        <w:gridCol w:w="999"/>
        <w:gridCol w:w="832"/>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3" w:hRule="atLeast"/>
        </w:trPr>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序号</w:t>
            </w:r>
          </w:p>
        </w:tc>
        <w:tc>
          <w:tcPr>
            <w:tcW w:w="13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设备名称</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单位</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数量</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预算单价（万元）</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进口/国产</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质保年限</w:t>
            </w:r>
          </w:p>
        </w:tc>
        <w:tc>
          <w:tcPr>
            <w:tcW w:w="7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总预算金额（万元）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w:t>
            </w:r>
          </w:p>
        </w:tc>
        <w:tc>
          <w:tcPr>
            <w:tcW w:w="13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4K高清关节镜系统</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套</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208</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进口</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7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2</w:t>
            </w:r>
          </w:p>
        </w:tc>
        <w:tc>
          <w:tcPr>
            <w:tcW w:w="13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骨科手术显微镜</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套</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220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进口</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val="en-US" w:eastAsia="zh-CN"/>
              </w:rPr>
            </w:pPr>
            <w:r>
              <w:rPr>
                <w:rFonts w:hint="eastAsia" w:ascii="宋体" w:hAnsi="宋体" w:cs="宋体"/>
                <w:i w:val="0"/>
                <w:iCs w:val="0"/>
                <w:color w:val="000000"/>
                <w:sz w:val="28"/>
                <w:szCs w:val="28"/>
                <w:u w:val="none"/>
                <w:lang w:val="en-US" w:eastAsia="zh-CN"/>
              </w:rPr>
              <w:t>3</w:t>
            </w:r>
          </w:p>
        </w:tc>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8"/>
                <w:szCs w:val="28"/>
                <w:u w:val="none"/>
              </w:rPr>
            </w:pPr>
          </w:p>
        </w:tc>
      </w:tr>
    </w:tbl>
    <w:p>
      <w:pPr>
        <w:snapToGrid w:val="0"/>
        <w:spacing w:beforeLines="170" w:line="360" w:lineRule="auto"/>
        <w:textAlignment w:val="baseline"/>
        <w:rPr>
          <w:rFonts w:ascii="宋体" w:hAnsi="宋体"/>
          <w:b/>
          <w:sz w:val="28"/>
          <w:szCs w:val="21"/>
        </w:rPr>
      </w:pPr>
      <w:r>
        <w:rPr>
          <w:rFonts w:hint="eastAsia" w:ascii="宋体" w:hAnsi="宋体"/>
          <w:b/>
          <w:sz w:val="28"/>
          <w:szCs w:val="21"/>
        </w:rPr>
        <w:t>二、技术参数及性能要求</w:t>
      </w:r>
    </w:p>
    <w:tbl>
      <w:tblPr>
        <w:tblStyle w:val="19"/>
        <w:tblW w:w="9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1059"/>
        <w:gridCol w:w="4250"/>
        <w:gridCol w:w="1042"/>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674" w:type="dxa"/>
            <w:gridSpan w:val="5"/>
            <w:noWrap/>
            <w:vAlign w:val="center"/>
          </w:tcPr>
          <w:p>
            <w:pPr>
              <w:spacing w:line="400" w:lineRule="exact"/>
              <w:jc w:val="left"/>
              <w:rPr>
                <w:rFonts w:ascii="宋体" w:hAnsi="宋体" w:cs="宋体"/>
                <w:b/>
                <w:bCs/>
                <w:sz w:val="24"/>
                <w:szCs w:val="24"/>
              </w:rPr>
            </w:pPr>
            <w:r>
              <w:rPr>
                <w:rFonts w:hint="eastAsia" w:ascii="宋体" w:hAnsi="宋体" w:cs="宋体"/>
                <w:b/>
                <w:bCs/>
                <w:sz w:val="24"/>
                <w:szCs w:val="24"/>
                <w:lang w:val="en-US" w:eastAsia="zh-CN"/>
              </w:rPr>
              <w:t>1、</w:t>
            </w:r>
            <w:r>
              <w:rPr>
                <w:rFonts w:hint="eastAsia" w:ascii="宋体" w:hAnsi="宋体" w:cs="宋体"/>
                <w:b/>
                <w:bCs/>
                <w:sz w:val="24"/>
                <w:szCs w:val="24"/>
              </w:rPr>
              <w:t>4K高清关节镜系统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674" w:type="dxa"/>
            <w:gridSpan w:val="5"/>
            <w:noWrap/>
            <w:vAlign w:val="center"/>
          </w:tcPr>
          <w:p>
            <w:pPr>
              <w:adjustRightInd w:val="0"/>
              <w:snapToGrid w:val="0"/>
              <w:spacing w:line="400" w:lineRule="exact"/>
              <w:jc w:val="left"/>
              <w:rPr>
                <w:rFonts w:ascii="宋体" w:hAnsi="宋体" w:cs="宋体"/>
                <w:sz w:val="24"/>
                <w:szCs w:val="24"/>
                <w:highlight w:val="none"/>
              </w:rPr>
            </w:pPr>
            <w:r>
              <w:rPr>
                <w:rFonts w:hint="eastAsia" w:ascii="宋体" w:hAnsi="宋体" w:cs="宋体"/>
                <w:sz w:val="24"/>
                <w:szCs w:val="24"/>
                <w:highlight w:val="none"/>
              </w:rPr>
              <w:t>1 超高清摄像主机</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★1.1 视频输出分辨率≥4K（3840×2160）</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1.2 扫描方式：逐行扫描</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1.3 输出接口：4×3G-SDI、DP、6×USB-2.0、3×USB-3.0</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1.4 存储功能：图像和视频自动存储USB存储设备，视频自动分段存储</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1.5手术模式：包含肩关节、膝关节、髋关节、小关节等10种术式，可自定义任意手术模式</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1.6 监视器：LCD触摸电容屏，可显示定制化信息包括拍摄图像预览、录制时间、设备状态、患者信息等</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 xml:space="preserve">2 光源 </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2.1 光源类型：LED冷光源</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2.2 色温≥6800K</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2.3 寿命≥30000小时</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2.4 光强度可主机调节</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2.5 支持冷启动</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 xml:space="preserve">2.6 自动待机保护功能 </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2.7 光缆折向连接插头设计，有效延长光纤导线寿命</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2.8 光缆灭菌方式：高温高压、STERRAD、STERIS V-Pro</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2.9 光纤可与大多数品牌的内窥镜兼容</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3. 高清摄像头：</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3.1 传感器：FULL HD CMOS</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3.2 按钮：可编程按钮≥3个，预设功能≥6种，可自定义遥控实现开启光源、白平衡、拍照和摄像、亮度调节、变焦调节、曝光调节等功能</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3.3 数码变焦调节≥100级</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3.4 机身：钛、C-Mount标准接口</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3.5灭菌方式：高温高压、STERRAD、STERIS V-Pro</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  4K图像管理系统：与摄像主机同一品牌</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4.1 可存储≥4K 60fps图像和视频</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4.2 大容量存储≥1T（存储4K视频约40小时）同时存储到≥2个USB驱动器上</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4.3 具备音频录制功能</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4.4 移动设备无线连接并可通过移动设备编辑并保存回EVO4K设备</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4.5 可定制化：图像、视频、文本、音频及医生的报告格式</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4.6 支持PACS/EMR/DICOM协议</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4.7 全中文用户界面，人性化触屏菜单设置</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4.8 图像格式：JPG/PNG</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4.9 视频格式：MP4/MOV/H.264</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4.10 可快速启动，启动时间≤17s</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4.11多点触控显示屏，显示屏对角线≥12.7cm</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4.12 支持流媒体视频直播</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4.13 支持4K回放功能</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4.14 兼容常用视频分辨率</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4.15 支持连接外部触摸屏</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5 耦合器缩放变焦：14-29mm，可高温高压灭菌</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 关节镜镜头及入路系统：</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6.1 关节镜镜头4.0mm×175mm，0°、30°、45°、70°/广角</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6.2 关节镜镜头2.7mm×187mm，0°、30°、70°/标准</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6.3 关节镜镜头2.0mm×110mm，0°、30°/广角</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6.4 关节镜镜头2.7mm×110mm，0°、30°、70°/标准</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6.4 4.0mm关节镜镜鞘，2个旋转活塞，直径≤6.0mm，0°、30°、45°、70°</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6.5 2.7mm关节镜镜鞘，2个旋转活塞，直径≤3.4mm，0°、30°、70°</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6.6 2.0mm关节镜镜鞘，1个固定活塞，直径≤3.4mm，30°</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6.7 三角锥形闭孔器</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6.8 钝形闭孔器</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6.9 关节镜可高温高压灭菌</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7 高清医用专业监视器≥ 27寸</w:t>
            </w:r>
          </w:p>
          <w:p>
            <w:pPr>
              <w:adjustRightInd w:val="0"/>
              <w:snapToGrid w:val="0"/>
              <w:spacing w:line="400" w:lineRule="exact"/>
              <w:jc w:val="left"/>
              <w:rPr>
                <w:rFonts w:ascii="宋体" w:hAnsi="宋体" w:cs="宋体"/>
                <w:sz w:val="24"/>
                <w:szCs w:val="24"/>
                <w:highlight w:val="none"/>
              </w:rPr>
            </w:pPr>
            <w:r>
              <w:rPr>
                <w:rFonts w:hint="eastAsia" w:ascii="宋体" w:hAnsi="宋体" w:cs="宋体"/>
                <w:sz w:val="24"/>
                <w:szCs w:val="24"/>
                <w:highlight w:val="none"/>
              </w:rPr>
              <w:t>8  动力灌注系统</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8.1 机头速度：500-8000rpm（增量500），每隔6分钟使用1分钟，扭力：≥150mNm。</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8.2</w:t>
            </w:r>
            <w:r>
              <w:rPr>
                <w:rFonts w:hint="eastAsia" w:ascii="宋体" w:hAnsi="宋体" w:cs="宋体"/>
                <w:kern w:val="0"/>
                <w:sz w:val="24"/>
                <w:szCs w:val="24"/>
                <w:highlight w:val="none"/>
              </w:rPr>
              <w:tab/>
            </w:r>
            <w:r>
              <w:rPr>
                <w:rFonts w:hint="eastAsia" w:ascii="宋体" w:hAnsi="宋体" w:cs="宋体"/>
                <w:kern w:val="0"/>
                <w:sz w:val="24"/>
                <w:szCs w:val="24"/>
                <w:highlight w:val="none"/>
              </w:rPr>
              <w:t>灌注系统压力水平：40–320mmHg（步幅10mmHg），压力稳定时，压力水平在设定点的±20%范围内。</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8.3 套管流量：100-600ml/min，最大流量时的预选精确度（±20%）。</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8.4 机头流量：200-800ml/min, 最大流量时的预选精确度（±20%）。</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8.5 流体管理调节模式： DUO模式(冲洗、机头控制和抽吸)、SOLO模式（冲洗和机头控制）。</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8.6 提供脚踏压力控制和机头控制</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8.6.1 有一键冲洗功能。</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8.6.2 有一键止血功能。</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8.6.3 刨刀方向：提供正向、反转和摆动三个方向调节。</w:t>
            </w:r>
          </w:p>
          <w:p>
            <w:pPr>
              <w:adjustRightInd w:val="0"/>
              <w:snapToGrid w:val="0"/>
              <w:spacing w:line="400" w:lineRule="exact"/>
              <w:rPr>
                <w:rFonts w:ascii="宋体" w:hAnsi="宋体" w:cs="宋体"/>
                <w:kern w:val="0"/>
                <w:sz w:val="24"/>
                <w:szCs w:val="24"/>
                <w:highlight w:val="none"/>
              </w:rPr>
            </w:pPr>
            <w:r>
              <w:rPr>
                <w:rFonts w:hint="eastAsia" w:ascii="宋体" w:hAnsi="宋体" w:cs="宋体"/>
                <w:sz w:val="24"/>
                <w:szCs w:val="24"/>
                <w:highlight w:val="none"/>
              </w:rPr>
              <w:t>8.7 配备远程手动控制器，包括</w:t>
            </w:r>
            <w:r>
              <w:rPr>
                <w:rFonts w:hint="eastAsia" w:ascii="宋体" w:hAnsi="宋体" w:cs="宋体"/>
                <w:kern w:val="0"/>
                <w:sz w:val="24"/>
                <w:szCs w:val="24"/>
                <w:highlight w:val="none"/>
              </w:rPr>
              <w:t>系统激活和停止控制、压力增减控制、止血功能控制、冲洗功能控制、刨刀抽吸水平控制、刨刀速度控制等</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8.8刨刀具备自动激活抽吸功能。</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8.9</w:t>
            </w:r>
            <w:r>
              <w:rPr>
                <w:rFonts w:hint="eastAsia" w:ascii="宋体" w:hAnsi="宋体" w:cs="宋体"/>
                <w:kern w:val="0"/>
                <w:sz w:val="24"/>
                <w:szCs w:val="24"/>
                <w:highlight w:val="none"/>
              </w:rPr>
              <w:tab/>
            </w:r>
            <w:r>
              <w:rPr>
                <w:rFonts w:hint="eastAsia" w:ascii="宋体" w:hAnsi="宋体" w:cs="宋体"/>
                <w:kern w:val="0"/>
                <w:sz w:val="24"/>
                <w:szCs w:val="24"/>
                <w:highlight w:val="none"/>
              </w:rPr>
              <w:t>多功能刀头：多功能刀头可以同时实现软组织和骨清理的功能，刀头直径包含4.2mm和5.2mm两种。</w:t>
            </w:r>
          </w:p>
          <w:p>
            <w:pPr>
              <w:adjustRightInd w:val="0"/>
              <w:snapToGrid w:val="0"/>
              <w:spacing w:line="400" w:lineRule="exact"/>
              <w:rPr>
                <w:rFonts w:ascii="宋体" w:hAnsi="宋体" w:cs="宋体"/>
                <w:kern w:val="0"/>
                <w:sz w:val="24"/>
                <w:szCs w:val="24"/>
                <w:highlight w:val="none"/>
              </w:rPr>
            </w:pPr>
            <w:r>
              <w:rPr>
                <w:rFonts w:hint="eastAsia" w:ascii="宋体" w:hAnsi="宋体" w:cs="宋体"/>
                <w:kern w:val="0"/>
                <w:sz w:val="24"/>
                <w:szCs w:val="24"/>
                <w:highlight w:val="none"/>
              </w:rPr>
              <w:t>8.10 液晶屏幕显示：可以实时显示关节腔内压力、刨削机头转速、模式、方向等。</w:t>
            </w:r>
          </w:p>
          <w:p>
            <w:pPr>
              <w:adjustRightInd w:val="0"/>
              <w:snapToGrid w:val="0"/>
              <w:spacing w:line="400" w:lineRule="exact"/>
              <w:jc w:val="left"/>
              <w:rPr>
                <w:rFonts w:ascii="宋体" w:hAnsi="宋体" w:cs="宋体"/>
                <w:sz w:val="24"/>
                <w:szCs w:val="24"/>
                <w:highlight w:val="none"/>
              </w:rPr>
            </w:pPr>
            <w:r>
              <w:rPr>
                <w:rFonts w:hint="eastAsia" w:ascii="宋体" w:hAnsi="宋体" w:cs="宋体"/>
                <w:sz w:val="24"/>
                <w:szCs w:val="24"/>
                <w:highlight w:val="none"/>
              </w:rPr>
              <w:t>9 等离子系统</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9.1 消融（V）模式：三档可调：V1, V2, V3；</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9.2 凝血（COAG）模式：在不进行组织汽化的情况下提供血管的止血</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9.3 低温脉冲消融模式：为组织汽化提供了‘脉冲效果’，需使用特定电极配置使用</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9.4带温度控制的凝血：凝血模式时，可显示电极头端的温度，并根据设定的温度进行控制</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9.5混合消融模式：两档可调，消融模式和凝血（止血）模式之间进行切换</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9.6 温控模式：控制范围：45-95℃；显示范围：10-99℃；超温指示器：超过设定温度&gt;8℃报警</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9.7 配置无线脚踏或有线脚踏</w:t>
            </w:r>
          </w:p>
          <w:p>
            <w:pPr>
              <w:adjustRightInd w:val="0"/>
              <w:snapToGrid w:val="0"/>
              <w:spacing w:line="400" w:lineRule="exact"/>
              <w:rPr>
                <w:rFonts w:ascii="宋体" w:hAnsi="宋体" w:cs="宋体"/>
                <w:sz w:val="24"/>
                <w:szCs w:val="24"/>
                <w:highlight w:val="none"/>
              </w:rPr>
            </w:pPr>
            <w:r>
              <w:rPr>
                <w:rFonts w:hint="eastAsia" w:ascii="宋体" w:hAnsi="宋体" w:cs="宋体"/>
                <w:sz w:val="24"/>
                <w:szCs w:val="24"/>
                <w:highlight w:val="none"/>
              </w:rPr>
              <w:t>9.8 无缝电流保护功能：电极接触金属端自动停止工作，不再接触后立即自动恢复工作</w:t>
            </w:r>
          </w:p>
          <w:p>
            <w:pPr>
              <w:adjustRightInd w:val="0"/>
              <w:snapToGrid w:val="0"/>
              <w:spacing w:line="400" w:lineRule="exact"/>
              <w:rPr>
                <w:rFonts w:ascii="宋体" w:hAnsi="宋体" w:cs="宋体"/>
                <w:sz w:val="24"/>
                <w:szCs w:val="24"/>
                <w:highlight w:val="none"/>
              </w:rPr>
            </w:pPr>
            <w:r>
              <w:rPr>
                <w:rFonts w:hint="eastAsia" w:ascii="宋体" w:hAnsi="宋体" w:cs="宋体"/>
                <w:b/>
                <w:bCs/>
                <w:sz w:val="24"/>
                <w:szCs w:val="24"/>
                <w:highlight w:val="none"/>
              </w:rPr>
              <w:t>设备配置清单: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配置属性</w:t>
            </w: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序号</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名称</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数量</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restart"/>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设备配置</w:t>
            </w: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4K摄像及光源一体化主机</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widowControl/>
              <w:jc w:val="center"/>
              <w:textAlignment w:val="center"/>
              <w:rPr>
                <w:rFonts w:ascii="宋体" w:hAnsi="宋体" w:cs="宋体"/>
                <w:color w:val="000000"/>
                <w:kern w:val="0"/>
                <w:sz w:val="24"/>
                <w:szCs w:val="24"/>
                <w:highlight w:val="none"/>
              </w:rPr>
            </w:pP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2</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全数字高清摄像头</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widowControl/>
              <w:jc w:val="center"/>
              <w:textAlignment w:val="center"/>
              <w:rPr>
                <w:rFonts w:ascii="宋体" w:hAnsi="宋体" w:cs="宋体"/>
                <w:color w:val="000000"/>
                <w:kern w:val="0"/>
                <w:sz w:val="24"/>
                <w:szCs w:val="24"/>
                <w:highlight w:val="none"/>
              </w:rPr>
            </w:pP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3</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高清聚焦耦合器</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widowControl/>
              <w:jc w:val="center"/>
              <w:textAlignment w:val="center"/>
              <w:rPr>
                <w:rFonts w:ascii="宋体" w:hAnsi="宋体" w:cs="宋体"/>
                <w:color w:val="000000"/>
                <w:kern w:val="0"/>
                <w:sz w:val="24"/>
                <w:szCs w:val="24"/>
                <w:highlight w:val="none"/>
              </w:rPr>
            </w:pP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4</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导光束</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widowControl/>
              <w:jc w:val="center"/>
              <w:textAlignment w:val="center"/>
              <w:rPr>
                <w:rFonts w:ascii="宋体" w:hAnsi="宋体" w:cs="宋体"/>
                <w:color w:val="000000"/>
                <w:kern w:val="0"/>
                <w:sz w:val="24"/>
                <w:szCs w:val="24"/>
                <w:highlight w:val="none"/>
              </w:rPr>
            </w:pP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5</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图像管理系统</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widowControl/>
              <w:jc w:val="center"/>
              <w:textAlignment w:val="center"/>
              <w:rPr>
                <w:rFonts w:ascii="宋体" w:hAnsi="宋体" w:cs="宋体"/>
                <w:color w:val="000000"/>
                <w:kern w:val="0"/>
                <w:sz w:val="24"/>
                <w:szCs w:val="24"/>
                <w:highlight w:val="none"/>
              </w:rPr>
            </w:pP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6</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关节镜消毒盒</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配件盒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widowControl/>
              <w:jc w:val="center"/>
              <w:textAlignment w:val="center"/>
              <w:rPr>
                <w:rFonts w:ascii="宋体" w:hAnsi="宋体" w:cs="宋体"/>
                <w:color w:val="000000"/>
                <w:kern w:val="0"/>
                <w:sz w:val="24"/>
                <w:szCs w:val="24"/>
                <w:highlight w:val="none"/>
              </w:rPr>
            </w:pP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7</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键盘</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widowControl/>
              <w:jc w:val="center"/>
              <w:textAlignment w:val="center"/>
              <w:rPr>
                <w:rFonts w:ascii="宋体" w:hAnsi="宋体" w:cs="宋体"/>
                <w:color w:val="000000"/>
                <w:kern w:val="0"/>
                <w:sz w:val="24"/>
                <w:szCs w:val="24"/>
                <w:highlight w:val="none"/>
              </w:rPr>
            </w:pPr>
          </w:p>
        </w:tc>
        <w:tc>
          <w:tcPr>
            <w:tcW w:w="1059"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8</w:t>
            </w:r>
          </w:p>
        </w:tc>
        <w:tc>
          <w:tcPr>
            <w:tcW w:w="4250"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配套消毒盒（长方形）</w:t>
            </w:r>
          </w:p>
        </w:tc>
        <w:tc>
          <w:tcPr>
            <w:tcW w:w="1042"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配件盒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液晶高清监视器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台车</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台车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4mm，30度关节镜</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6mm 双阀、可旋转套管</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4.2mm钝穿刺锥</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2.7mm，30度，工作长110mm关节镜</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3.4mm双阀、可旋转短套管</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2.7mm钝穿刺锥</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4mm,70度关节镜</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灌注与刨削主机</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动力手柄</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4.2mm多动能刀头</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耗材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4,0mm磨头</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耗材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脚踏</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等离子射频主机</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等离子刀头</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耗材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无线脚踏</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restart"/>
            <w:noWrap/>
            <w:vAlign w:val="center"/>
          </w:tcPr>
          <w:p>
            <w:pPr>
              <w:adjustRightInd w:val="0"/>
              <w:snapToGrid w:val="0"/>
              <w:spacing w:line="400" w:lineRule="exact"/>
              <w:jc w:val="center"/>
              <w:rPr>
                <w:rFonts w:ascii="宋体" w:hAnsi="宋体" w:cs="宋体"/>
                <w:sz w:val="24"/>
                <w:szCs w:val="24"/>
                <w:highlight w:val="none"/>
              </w:rPr>
            </w:pPr>
            <w:r>
              <w:rPr>
                <w:rFonts w:hint="eastAsia" w:ascii="宋体" w:hAnsi="宋体" w:cs="宋体"/>
                <w:b/>
                <w:bCs/>
                <w:sz w:val="24"/>
                <w:szCs w:val="24"/>
                <w:highlight w:val="none"/>
              </w:rPr>
              <w:t>设备配套器械清单</w:t>
            </w:r>
          </w:p>
        </w:tc>
        <w:tc>
          <w:tcPr>
            <w:tcW w:w="1059" w:type="dxa"/>
            <w:noWrap/>
            <w:vAlign w:val="center"/>
          </w:tcPr>
          <w:p>
            <w:pPr>
              <w:widowControl/>
              <w:jc w:val="center"/>
              <w:textAlignment w:val="center"/>
              <w:rPr>
                <w:rFonts w:hint="default" w:ascii="宋体" w:hAnsi="宋体" w:eastAsia="宋体" w:cs="宋体"/>
                <w:sz w:val="24"/>
                <w:szCs w:val="24"/>
                <w:highlight w:val="none"/>
                <w:lang w:val="en-US" w:eastAsia="zh-CN"/>
              </w:rPr>
            </w:pPr>
            <w:r>
              <w:rPr>
                <w:rFonts w:hint="eastAsia" w:ascii="宋体" w:hAnsi="宋体" w:cs="宋体"/>
                <w:color w:val="000000"/>
                <w:kern w:val="0"/>
                <w:sz w:val="24"/>
                <w:szCs w:val="24"/>
                <w:highlight w:val="none"/>
                <w:lang w:val="en-US" w:eastAsia="zh-CN"/>
              </w:rPr>
              <w:t>26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关节探勾，90度</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肌腱剥离器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标准股骨测深尺</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CRUCIATE 导针套管</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CRUCIATE 导针</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ACL胫骨点状定位器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PCL胫骨盘状定位器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CRUCIATE股骨面定位器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CRUCIATE  PCL骨挫</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CRUCIATE  组织保护器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5.5前内股骨瞄准器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6.5前内股骨瞄准器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7.5前内股骨瞄准器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39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圆头钻孔器 4.5mm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圆头钻孔器 6mm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圆头钻孔器 7mm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圆头钻孔器 8mm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圆头钻孔器 9mm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全带槽钻孔器 6mm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全带槽钻孔器 7mm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全带槽钻孔器 8mm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全带槽钻孔器 9mm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2.4mmX15" 校准型导向针 带钻</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半月板锉</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推结剪线器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缝线操作器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锤子</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带刻度探针</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交换棒</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线结操作器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混合通用抓钳</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缝线操作器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游离体抓钳</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CordCutter剪刀</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关节镜下抓钳 45度右弯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关节镜下抓钳 45度左弯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关节镜下抓钳 直身</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灵活勾 右</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灵活勾 左</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六点勾 右</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六点勾 左</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锐形组织剥离器上弯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锐形组织剥离器下弯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EXPRESSEWIII缝线穿线器带钩</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锉刀 20度上弯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锉刀 20度下弯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髋关节缝线穿梭钳，上弯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髋关节缝线穿梭钳，直型</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5.5mm 髋关节中空交换棒</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6.0mm 髋关节中空交换棒</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4.0mm 髋关节中空交换棒</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5.5mm 槽缝套管</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6.0mm 槽缝套管</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79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髋关节咬钳，15度上弯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髋关节剪线钳</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髋关节咬钳，直型</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髋关节刮匙，20度斜</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髋关节抓钳，20度左弯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髋关节抓钳，20度右弯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髋关节推结器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髋关节持线钳</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髋关节抓钳，直型</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髋关节软组织剥离器，20度下弯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89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手柄，髋关节交换棒</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5.0mm 髋关节中空交换棒</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4.5mm 髋关节中空交换棒</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二类器械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扩张器芯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扩张器定位针</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扩张器，5mm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扩张器,7mm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扩张器,9mm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扩张器,11mm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扩张器,13mm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99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扩张器,15mm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双通道骨刀-直</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双通道骨刀-弯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双通道融合器打入器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双通道吸引器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肌肉剥离器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双头剥离器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双头剥离器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双通道神经根拉钩</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双通道神经根拉钩</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109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双通道神经根拉钩-左</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双通道神经根拉钩-右</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终板分离器,35°</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终板分离器，5°</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铰刀，7mm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铰刀,8mm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铰刀,9mm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铰刀,10mm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铰刀,11mm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铰刀,12mm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119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铰刀,13mm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植骨漏斗</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植骨推杆</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半通道牵开器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半通道牵开器</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双通道骨刀-右弯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双通道骨刀-直型</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双通道骨刮匙-前弯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双通道骨刮匙-前弯</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双通道骨刮匙-反口</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129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双通道骨刮匙-反口</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双通道探针</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骨锤</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132</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推进型刮匙</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133</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髓核钳（直头）</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134</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髓核钳（弯型）</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135</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椎板咬骨钳（直头）,2mm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136</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椎板咬骨钳（直头）,3mm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137</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椎板咬骨钳（弯头）,2mm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138</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椎板咬骨钳（弯头）,3mm</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139</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椎板咬骨钳手柄</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2</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140</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T型快装手柄</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85" w:type="dxa"/>
            <w:vMerge w:val="continue"/>
            <w:noWrap/>
            <w:vAlign w:val="center"/>
          </w:tcPr>
          <w:p>
            <w:pPr>
              <w:adjustRightInd w:val="0"/>
              <w:snapToGrid w:val="0"/>
              <w:spacing w:line="400" w:lineRule="exact"/>
              <w:rPr>
                <w:rFonts w:ascii="宋体" w:hAnsi="宋体" w:cs="宋体"/>
                <w:sz w:val="24"/>
                <w:szCs w:val="24"/>
                <w:highlight w:val="none"/>
              </w:rPr>
            </w:pPr>
          </w:p>
        </w:tc>
        <w:tc>
          <w:tcPr>
            <w:tcW w:w="1059"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141</w:t>
            </w:r>
          </w:p>
        </w:tc>
        <w:tc>
          <w:tcPr>
            <w:tcW w:w="4250"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器械箱</w:t>
            </w:r>
          </w:p>
        </w:tc>
        <w:tc>
          <w:tcPr>
            <w:tcW w:w="1042"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1</w:t>
            </w:r>
          </w:p>
        </w:tc>
        <w:tc>
          <w:tcPr>
            <w:tcW w:w="1938" w:type="dxa"/>
            <w:noWrap/>
            <w:vAlign w:val="center"/>
          </w:tcPr>
          <w:p>
            <w:pPr>
              <w:widowControl/>
              <w:jc w:val="center"/>
              <w:textAlignment w:val="center"/>
              <w:rPr>
                <w:rFonts w:ascii="宋体" w:hAnsi="宋体" w:cs="宋体"/>
                <w:sz w:val="24"/>
                <w:szCs w:val="24"/>
                <w:highlight w:val="none"/>
              </w:rPr>
            </w:pPr>
            <w:r>
              <w:rPr>
                <w:rFonts w:hint="eastAsia" w:ascii="宋体" w:hAnsi="宋体" w:cs="宋体"/>
                <w:color w:val="000000"/>
                <w:kern w:val="0"/>
                <w:sz w:val="24"/>
                <w:szCs w:val="24"/>
                <w:highlight w:val="none"/>
              </w:rPr>
              <w:t>一类器械</w:t>
            </w:r>
          </w:p>
        </w:tc>
      </w:tr>
    </w:tbl>
    <w:p>
      <w:pPr>
        <w:pStyle w:val="5"/>
        <w:rPr>
          <w:rFonts w:ascii="宋体" w:hAnsi="宋体" w:cs="宋体"/>
          <w:b/>
          <w:bCs/>
          <w:color w:val="auto"/>
          <w:sz w:val="24"/>
          <w:szCs w:val="24"/>
          <w:highlight w:val="none"/>
        </w:rPr>
      </w:pPr>
      <w:r>
        <w:rPr>
          <w:rFonts w:hint="eastAsia" w:ascii="宋体" w:hAnsi="宋体" w:cs="宋体"/>
          <w:b/>
          <w:bCs/>
          <w:color w:val="auto"/>
          <w:sz w:val="24"/>
          <w:szCs w:val="24"/>
          <w:highlight w:val="none"/>
        </w:rPr>
        <w:br w:type="page"/>
      </w:r>
    </w:p>
    <w:p>
      <w:pPr>
        <w:pStyle w:val="2"/>
        <w:ind w:left="0" w:leftChars="0" w:firstLine="0" w:firstLineChars="0"/>
      </w:pPr>
    </w:p>
    <w:tbl>
      <w:tblPr>
        <w:tblStyle w:val="1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48"/>
        <w:gridCol w:w="1621"/>
        <w:gridCol w:w="3251"/>
        <w:gridCol w:w="1444"/>
        <w:gridCol w:w="930"/>
        <w:gridCol w:w="1613"/>
        <w:gridCol w:w="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668" w:type="dxa"/>
            <w:gridSpan w:val="8"/>
            <w:noWrap/>
            <w:vAlign w:val="center"/>
          </w:tcPr>
          <w:p>
            <w:pPr>
              <w:spacing w:line="400" w:lineRule="exact"/>
              <w:jc w:val="left"/>
              <w:rPr>
                <w:rFonts w:ascii="宋体" w:hAnsi="宋体" w:cs="宋体"/>
                <w:sz w:val="24"/>
                <w:szCs w:val="24"/>
              </w:rPr>
            </w:pPr>
            <w:r>
              <w:rPr>
                <w:rFonts w:hint="eastAsia" w:ascii="宋体" w:hAnsi="宋体" w:cs="宋体"/>
                <w:b/>
                <w:bCs/>
                <w:sz w:val="24"/>
                <w:szCs w:val="24"/>
                <w:lang w:val="en-US" w:eastAsia="zh-CN"/>
              </w:rPr>
              <w:t>2、</w:t>
            </w:r>
            <w:r>
              <w:rPr>
                <w:rFonts w:hint="eastAsia" w:ascii="宋体" w:hAnsi="宋体" w:cs="宋体"/>
                <w:b/>
                <w:bCs/>
                <w:sz w:val="24"/>
                <w:szCs w:val="24"/>
              </w:rPr>
              <w:t>骨科手术显微镜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2" w:hRule="atLeast"/>
          <w:jc w:val="center"/>
        </w:trPr>
        <w:tc>
          <w:tcPr>
            <w:tcW w:w="9668" w:type="dxa"/>
            <w:gridSpan w:val="8"/>
            <w:noWrap/>
            <w:vAlign w:val="center"/>
          </w:tcPr>
          <w:p>
            <w:pPr>
              <w:spacing w:line="400" w:lineRule="exact"/>
              <w:rPr>
                <w:rFonts w:ascii="宋体" w:hAnsi="宋体" w:cs="宋体"/>
                <w:sz w:val="24"/>
                <w:szCs w:val="24"/>
                <w:highlight w:val="none"/>
              </w:rPr>
            </w:pPr>
            <w:r>
              <w:rPr>
                <w:rFonts w:hint="eastAsia" w:ascii="宋体" w:hAnsi="宋体" w:cs="宋体"/>
                <w:sz w:val="24"/>
                <w:szCs w:val="24"/>
                <w:highlight w:val="none"/>
              </w:rPr>
              <w:t>1、主镜</w:t>
            </w:r>
          </w:p>
          <w:p>
            <w:pPr>
              <w:spacing w:line="400" w:lineRule="exact"/>
              <w:rPr>
                <w:rFonts w:ascii="宋体" w:hAnsi="宋体" w:cs="宋体"/>
                <w:sz w:val="24"/>
                <w:szCs w:val="24"/>
                <w:highlight w:val="none"/>
              </w:rPr>
            </w:pPr>
            <w:r>
              <w:rPr>
                <w:rFonts w:hint="eastAsia" w:ascii="宋体" w:hAnsi="宋体" w:cs="宋体"/>
                <w:sz w:val="24"/>
                <w:szCs w:val="24"/>
                <w:highlight w:val="none"/>
              </w:rPr>
              <w:t>★1.1双人四目，面对面镜组。</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1.2一体化触摸屏集控系统：通过≥24英寸触摸屏集控光学、支架、影像及照明设置，触屏新建用户个性化设置和新建患者账户，新建用户和患者数量不限。</w:t>
            </w:r>
          </w:p>
          <w:p>
            <w:pPr>
              <w:spacing w:line="400" w:lineRule="exact"/>
              <w:rPr>
                <w:rFonts w:ascii="宋体" w:hAnsi="宋体" w:cs="宋体"/>
                <w:sz w:val="24"/>
                <w:szCs w:val="24"/>
                <w:highlight w:val="none"/>
              </w:rPr>
            </w:pPr>
            <w:r>
              <w:rPr>
                <w:rFonts w:hint="eastAsia" w:ascii="宋体" w:hAnsi="宋体" w:cs="宋体"/>
                <w:sz w:val="24"/>
                <w:szCs w:val="24"/>
                <w:highlight w:val="none"/>
              </w:rPr>
              <w:t>1.3采用该品牌最新上市，优质光学品质，全光路复消色差镀膜技术；</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1.4无级变倍系统，放大倍数：最小放大倍率≤2X ，最大放大倍率≥16X（12.5倍目镜下）；</w:t>
            </w:r>
          </w:p>
          <w:p>
            <w:pPr>
              <w:spacing w:line="400" w:lineRule="exact"/>
              <w:rPr>
                <w:rFonts w:ascii="宋体" w:hAnsi="宋体" w:cs="宋体"/>
                <w:sz w:val="24"/>
                <w:szCs w:val="24"/>
                <w:highlight w:val="none"/>
              </w:rPr>
            </w:pPr>
            <w:r>
              <w:rPr>
                <w:rFonts w:hint="eastAsia" w:ascii="宋体" w:hAnsi="宋体" w:cs="宋体"/>
                <w:sz w:val="24"/>
                <w:szCs w:val="24"/>
                <w:highlight w:val="none"/>
              </w:rPr>
              <w:t>★1.5单一连续可调物镜下，最小工作距离≤200 mm，最大工作距离≥625mm；</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★1.6广角目镜，屈光补偿范围≥+5D/-8D，眼杯高度可调；</w:t>
            </w:r>
          </w:p>
          <w:p>
            <w:pPr>
              <w:spacing w:line="400" w:lineRule="exact"/>
              <w:rPr>
                <w:rFonts w:ascii="宋体" w:hAnsi="宋体" w:cs="宋体"/>
                <w:sz w:val="24"/>
                <w:szCs w:val="24"/>
                <w:highlight w:val="none"/>
              </w:rPr>
            </w:pPr>
            <w:r>
              <w:rPr>
                <w:rFonts w:hint="eastAsia" w:ascii="宋体" w:hAnsi="宋体" w:cs="宋体"/>
                <w:sz w:val="24"/>
                <w:szCs w:val="24"/>
                <w:highlight w:val="none"/>
              </w:rPr>
              <w:t>1.7主镜可绕垂直轴旋转≥540º，左右倾斜：-45º/45º，前倾-30º/后倾130º；</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1.8 12.5X双目镜筒，0-180 º  可调；</w:t>
            </w:r>
          </w:p>
          <w:p>
            <w:pPr>
              <w:spacing w:line="400" w:lineRule="exact"/>
              <w:rPr>
                <w:rFonts w:ascii="宋体" w:hAnsi="宋体" w:cs="宋体"/>
                <w:sz w:val="24"/>
                <w:szCs w:val="24"/>
                <w:highlight w:val="none"/>
              </w:rPr>
            </w:pPr>
            <w:r>
              <w:rPr>
                <w:rFonts w:hint="eastAsia" w:ascii="宋体" w:hAnsi="宋体" w:cs="宋体"/>
                <w:sz w:val="24"/>
                <w:szCs w:val="24"/>
                <w:highlight w:val="none"/>
              </w:rPr>
              <w:t>1.9全功能可编程手柄，可自由设定控制参数，如：变倍、调焦、亮度等等</w:t>
            </w:r>
          </w:p>
          <w:p>
            <w:pPr>
              <w:spacing w:line="400" w:lineRule="exact"/>
              <w:rPr>
                <w:rFonts w:ascii="宋体" w:hAnsi="宋体" w:cs="宋体"/>
                <w:sz w:val="24"/>
                <w:szCs w:val="24"/>
                <w:highlight w:val="none"/>
              </w:rPr>
            </w:pPr>
            <w:r>
              <w:rPr>
                <w:rFonts w:hint="eastAsia" w:ascii="宋体" w:hAnsi="宋体" w:cs="宋体"/>
                <w:sz w:val="24"/>
                <w:szCs w:val="24"/>
                <w:highlight w:val="none"/>
              </w:rPr>
              <w:t>1.10 机头后备手动旋钮：机头具备手动调焦、变倍和调光圈大小的旋钮；</w:t>
            </w:r>
          </w:p>
          <w:p>
            <w:pPr>
              <w:spacing w:line="400" w:lineRule="exact"/>
              <w:rPr>
                <w:rFonts w:ascii="宋体" w:hAnsi="宋体" w:cs="宋体"/>
                <w:sz w:val="24"/>
                <w:szCs w:val="24"/>
                <w:highlight w:val="none"/>
              </w:rPr>
            </w:pPr>
            <w:r>
              <w:rPr>
                <w:rFonts w:hint="eastAsia" w:ascii="宋体" w:hAnsi="宋体" w:cs="宋体"/>
                <w:sz w:val="24"/>
                <w:szCs w:val="24"/>
                <w:highlight w:val="none"/>
              </w:rPr>
              <w:t>2、面对面助手镜</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2.1 面对面助手镜与主刀拥有一致的光学性能，放大倍数、景深效果等</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★2.2广角目镜，屈光补偿范围≥+5D/-8D，眼杯高度可调；</w:t>
            </w:r>
          </w:p>
          <w:p>
            <w:pPr>
              <w:spacing w:line="400" w:lineRule="exact"/>
              <w:rPr>
                <w:rFonts w:ascii="宋体" w:hAnsi="宋体" w:cs="宋体"/>
                <w:sz w:val="24"/>
                <w:szCs w:val="24"/>
                <w:highlight w:val="none"/>
              </w:rPr>
            </w:pPr>
            <w:r>
              <w:rPr>
                <w:rFonts w:hint="eastAsia" w:ascii="宋体" w:hAnsi="宋体" w:cs="宋体"/>
                <w:sz w:val="24"/>
                <w:szCs w:val="24"/>
                <w:highlight w:val="none"/>
              </w:rPr>
              <w:t>3、照明系统</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3.1支架上冷光源照明系统,经光纤传导到显微镜；</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3.2 照明光源：全内置LED照明系统，使用寿命≥40000h；</w:t>
            </w:r>
          </w:p>
          <w:p>
            <w:pPr>
              <w:spacing w:line="400" w:lineRule="exact"/>
              <w:rPr>
                <w:rFonts w:ascii="宋体" w:hAnsi="宋体" w:cs="宋体"/>
                <w:sz w:val="24"/>
                <w:szCs w:val="24"/>
                <w:highlight w:val="none"/>
              </w:rPr>
            </w:pPr>
            <w:r>
              <w:rPr>
                <w:rFonts w:hint="eastAsia" w:ascii="宋体" w:hAnsi="宋体" w:cs="宋体"/>
                <w:sz w:val="24"/>
                <w:szCs w:val="24"/>
                <w:highlight w:val="none"/>
              </w:rPr>
              <w:t>3.4自动调节亮度：可根据工作距离和放大倍率调整照明亮度。</w:t>
            </w:r>
          </w:p>
          <w:p>
            <w:pPr>
              <w:spacing w:line="400" w:lineRule="exact"/>
              <w:rPr>
                <w:rFonts w:ascii="宋体" w:hAnsi="宋体" w:cs="宋体"/>
                <w:sz w:val="24"/>
                <w:szCs w:val="24"/>
                <w:highlight w:val="none"/>
              </w:rPr>
            </w:pPr>
            <w:r>
              <w:rPr>
                <w:rFonts w:hint="eastAsia" w:ascii="宋体" w:hAnsi="宋体" w:cs="宋体"/>
                <w:sz w:val="24"/>
                <w:szCs w:val="24"/>
                <w:highlight w:val="none"/>
              </w:rPr>
              <w:t>4、支架系统</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4.1显微镜支架底盘尺寸≥8</w:t>
            </w:r>
            <w:r>
              <w:rPr>
                <w:rFonts w:hint="eastAsia" w:ascii="宋体" w:hAnsi="宋体" w:cs="宋体"/>
                <w:sz w:val="24"/>
                <w:szCs w:val="24"/>
                <w:highlight w:val="none"/>
                <w:lang w:val="en-US" w:eastAsia="zh-CN"/>
              </w:rPr>
              <w:t>00</w:t>
            </w:r>
            <w:r>
              <w:rPr>
                <w:rFonts w:hint="eastAsia" w:ascii="宋体" w:hAnsi="宋体" w:cs="宋体"/>
                <w:sz w:val="24"/>
                <w:szCs w:val="24"/>
                <w:highlight w:val="none"/>
              </w:rPr>
              <w:t>mm×8</w:t>
            </w:r>
            <w:r>
              <w:rPr>
                <w:rFonts w:hint="eastAsia" w:ascii="宋体" w:hAnsi="宋体" w:cs="宋体"/>
                <w:sz w:val="24"/>
                <w:szCs w:val="24"/>
                <w:highlight w:val="none"/>
                <w:lang w:val="en-US" w:eastAsia="zh-CN"/>
              </w:rPr>
              <w:t>00</w:t>
            </w:r>
            <w:r>
              <w:rPr>
                <w:rFonts w:hint="eastAsia" w:ascii="宋体" w:hAnsi="宋体" w:cs="宋体"/>
                <w:sz w:val="24"/>
                <w:szCs w:val="24"/>
                <w:highlight w:val="none"/>
              </w:rPr>
              <w:t>mm；</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 xml:space="preserve">4.2支架具有≥6关节电磁锁开关，支架臂上具有电磁锁； </w:t>
            </w:r>
          </w:p>
          <w:p>
            <w:pPr>
              <w:spacing w:line="400" w:lineRule="exact"/>
              <w:rPr>
                <w:rFonts w:ascii="宋体" w:hAnsi="宋体" w:cs="宋体"/>
                <w:sz w:val="24"/>
                <w:szCs w:val="24"/>
                <w:highlight w:val="none"/>
              </w:rPr>
            </w:pPr>
            <w:r>
              <w:rPr>
                <w:rFonts w:hint="eastAsia" w:ascii="宋体" w:hAnsi="宋体" w:cs="宋体"/>
                <w:sz w:val="24"/>
                <w:szCs w:val="24"/>
                <w:highlight w:val="none"/>
              </w:rPr>
              <w:t>4.3智能防震颤支架：支架采用智能感应减震马达，可使支架快速减震停摆；</w:t>
            </w:r>
          </w:p>
          <w:p>
            <w:pPr>
              <w:spacing w:line="400" w:lineRule="exact"/>
              <w:rPr>
                <w:rFonts w:ascii="宋体" w:hAnsi="宋体" w:cs="宋体"/>
                <w:sz w:val="24"/>
                <w:szCs w:val="24"/>
                <w:highlight w:val="none"/>
              </w:rPr>
            </w:pPr>
            <w:r>
              <w:rPr>
                <w:rFonts w:hint="eastAsia" w:ascii="宋体" w:hAnsi="宋体" w:cs="宋体"/>
                <w:sz w:val="24"/>
                <w:szCs w:val="24"/>
                <w:highlight w:val="none"/>
              </w:rPr>
              <w:t>4.4术中或术前平衡时有远离病人或不在患者上方的图示性保护提示</w:t>
            </w:r>
          </w:p>
          <w:p>
            <w:pPr>
              <w:spacing w:line="400" w:lineRule="exact"/>
              <w:rPr>
                <w:rFonts w:ascii="宋体" w:hAnsi="宋体" w:cs="宋体"/>
                <w:sz w:val="24"/>
                <w:szCs w:val="24"/>
                <w:highlight w:val="none"/>
              </w:rPr>
            </w:pPr>
            <w:r>
              <w:rPr>
                <w:rFonts w:hint="eastAsia" w:ascii="宋体" w:hAnsi="宋体" w:cs="宋体"/>
                <w:sz w:val="24"/>
                <w:szCs w:val="24"/>
                <w:highlight w:val="none"/>
              </w:rPr>
              <w:t>★4.5过顶设计，支架最大高度≥23</w:t>
            </w:r>
            <w:r>
              <w:rPr>
                <w:rFonts w:hint="eastAsia" w:ascii="宋体" w:hAnsi="宋体" w:cs="宋体"/>
                <w:sz w:val="24"/>
                <w:szCs w:val="24"/>
                <w:highlight w:val="none"/>
                <w:lang w:val="en-US" w:eastAsia="zh-CN"/>
              </w:rPr>
              <w:t>0</w:t>
            </w:r>
            <w:r>
              <w:rPr>
                <w:rFonts w:hint="eastAsia" w:ascii="宋体" w:hAnsi="宋体" w:cs="宋体"/>
                <w:sz w:val="24"/>
                <w:szCs w:val="24"/>
                <w:highlight w:val="none"/>
              </w:rPr>
              <w:t>0mm，有效臂展≥1600mm；</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5、摄像系统</w:t>
            </w:r>
            <w:r>
              <w:rPr>
                <w:rFonts w:hint="eastAsia" w:ascii="宋体" w:hAnsi="宋体" w:cs="宋体"/>
                <w:sz w:val="24"/>
                <w:szCs w:val="24"/>
                <w:highlight w:val="none"/>
              </w:rPr>
              <w:tab/>
            </w:r>
          </w:p>
          <w:p>
            <w:pPr>
              <w:spacing w:line="400" w:lineRule="exact"/>
              <w:rPr>
                <w:rFonts w:ascii="宋体" w:hAnsi="宋体" w:cs="宋体"/>
                <w:sz w:val="24"/>
                <w:szCs w:val="24"/>
                <w:highlight w:val="none"/>
              </w:rPr>
            </w:pPr>
            <w:r>
              <w:rPr>
                <w:rFonts w:hint="eastAsia" w:ascii="宋体" w:hAnsi="宋体" w:cs="宋体"/>
                <w:sz w:val="24"/>
                <w:szCs w:val="24"/>
                <w:highlight w:val="none"/>
              </w:rPr>
              <w:t>★5.1一体化设计，镜体内完全内置有原厂高清摄像头，摄像头分辨率≥1920*1080p，无需外接分光器和视频适配器，与说明书图示一致；</w:t>
            </w:r>
          </w:p>
          <w:p>
            <w:pPr>
              <w:spacing w:line="400" w:lineRule="exact"/>
              <w:rPr>
                <w:rFonts w:ascii="宋体" w:hAnsi="宋体" w:cs="宋体"/>
                <w:sz w:val="24"/>
                <w:szCs w:val="24"/>
                <w:highlight w:val="none"/>
              </w:rPr>
            </w:pPr>
            <w:r>
              <w:rPr>
                <w:rFonts w:hint="eastAsia" w:ascii="宋体" w:hAnsi="宋体" w:cs="宋体"/>
                <w:sz w:val="24"/>
                <w:szCs w:val="24"/>
                <w:highlight w:val="none"/>
              </w:rPr>
              <w:t>5.2配置原厂≥24英寸平板电脑式监视器，可外接USB数据存储；</w:t>
            </w:r>
          </w:p>
          <w:p>
            <w:pPr>
              <w:spacing w:line="400" w:lineRule="exact"/>
              <w:rPr>
                <w:rFonts w:ascii="宋体" w:hAnsi="宋体" w:cs="宋体"/>
                <w:sz w:val="24"/>
                <w:szCs w:val="24"/>
                <w:highlight w:val="none"/>
              </w:rPr>
            </w:pPr>
            <w:r>
              <w:rPr>
                <w:rFonts w:hint="eastAsia" w:ascii="宋体" w:hAnsi="宋体" w:cs="宋体"/>
                <w:sz w:val="24"/>
                <w:szCs w:val="24"/>
                <w:highlight w:val="none"/>
              </w:rPr>
              <w:t>5.3视频输出端口 HDMI, DVI-D, HD-SDI,网络端口；</w:t>
            </w:r>
          </w:p>
          <w:p>
            <w:pPr>
              <w:spacing w:line="400" w:lineRule="exact"/>
              <w:rPr>
                <w:rFonts w:ascii="宋体" w:hAnsi="宋体" w:cs="宋体"/>
                <w:sz w:val="24"/>
                <w:szCs w:val="24"/>
                <w:highlight w:val="none"/>
              </w:rPr>
            </w:pPr>
            <w:r>
              <w:rPr>
                <w:rFonts w:hint="eastAsia" w:ascii="宋体" w:hAnsi="宋体" w:cs="宋体"/>
                <w:b/>
                <w:bCs/>
                <w:sz w:val="24"/>
                <w:szCs w:val="24"/>
                <w:highlight w:val="none"/>
                <w:lang w:val="en-US" w:eastAsia="zh-CN"/>
              </w:rPr>
              <w:t>设备</w:t>
            </w:r>
            <w:r>
              <w:rPr>
                <w:rFonts w:hint="eastAsia" w:ascii="宋体" w:hAnsi="宋体" w:cs="宋体"/>
                <w:b/>
                <w:bCs/>
                <w:sz w:val="24"/>
                <w:szCs w:val="24"/>
                <w:highlight w:val="none"/>
              </w:rPr>
              <w:t>配置清单: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rPr>
            </w:pPr>
            <w:r>
              <w:rPr>
                <w:rFonts w:hint="eastAsia" w:ascii="宋体" w:hAnsi="宋体" w:cs="宋体"/>
                <w:sz w:val="24"/>
                <w:szCs w:val="24"/>
              </w:rPr>
              <w:t>序号</w:t>
            </w:r>
          </w:p>
        </w:tc>
        <w:tc>
          <w:tcPr>
            <w:tcW w:w="4872" w:type="dxa"/>
            <w:gridSpan w:val="2"/>
            <w:noWrap/>
            <w:vAlign w:val="center"/>
          </w:tcPr>
          <w:p>
            <w:pPr>
              <w:spacing w:line="400" w:lineRule="exact"/>
              <w:jc w:val="center"/>
              <w:rPr>
                <w:rFonts w:ascii="宋体" w:hAnsi="宋体" w:cs="宋体"/>
                <w:sz w:val="24"/>
                <w:szCs w:val="24"/>
              </w:rPr>
            </w:pPr>
            <w:r>
              <w:rPr>
                <w:rFonts w:hint="eastAsia" w:ascii="宋体" w:hAnsi="宋体" w:cs="宋体"/>
                <w:sz w:val="24"/>
                <w:szCs w:val="24"/>
              </w:rPr>
              <w:t>设备配置名称</w:t>
            </w:r>
          </w:p>
        </w:tc>
        <w:tc>
          <w:tcPr>
            <w:tcW w:w="4037" w:type="dxa"/>
            <w:gridSpan w:val="4"/>
            <w:noWrap/>
            <w:vAlign w:val="center"/>
          </w:tcPr>
          <w:p>
            <w:pPr>
              <w:spacing w:line="400" w:lineRule="exact"/>
              <w:jc w:val="center"/>
              <w:rPr>
                <w:rFonts w:ascii="宋体" w:hAnsi="宋体" w:cs="宋体"/>
                <w:sz w:val="24"/>
                <w:szCs w:val="24"/>
              </w:rPr>
            </w:pPr>
            <w:r>
              <w:rPr>
                <w:rFonts w:hint="eastAsia" w:ascii="宋体" w:hAnsi="宋体" w:cs="宋体"/>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一体化主机机头</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2</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≥24英寸集控触摸屏</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3</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主刀镜</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4</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面对面助手镜</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5</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12.5X广角目镜</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4</w:t>
            </w:r>
            <w:r>
              <w:rPr>
                <w:rFonts w:hint="eastAsia" w:ascii="宋体" w:hAnsi="宋体"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6</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落地式防震支架</w:t>
            </w:r>
          </w:p>
        </w:tc>
        <w:tc>
          <w:tcPr>
            <w:tcW w:w="4037" w:type="dxa"/>
            <w:gridSpan w:val="4"/>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7</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多功能手柄</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2</w:t>
            </w:r>
            <w:r>
              <w:rPr>
                <w:rFonts w:hint="eastAsia" w:ascii="宋体" w:hAnsi="宋体"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8</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光源系统</w:t>
            </w:r>
          </w:p>
        </w:tc>
        <w:tc>
          <w:tcPr>
            <w:tcW w:w="4037" w:type="dxa"/>
            <w:gridSpan w:val="4"/>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9</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高保真立体桥式分光器</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10</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内置高清摄像头</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11</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消毒套抽真空模块</w:t>
            </w:r>
          </w:p>
        </w:tc>
        <w:tc>
          <w:tcPr>
            <w:tcW w:w="4037" w:type="dxa"/>
            <w:gridSpan w:val="4"/>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12</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电动平衡功能</w:t>
            </w:r>
          </w:p>
        </w:tc>
        <w:tc>
          <w:tcPr>
            <w:tcW w:w="4037" w:type="dxa"/>
            <w:gridSpan w:val="4"/>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13</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无菌消毒罩（含物镜保护镜）</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2</w:t>
            </w:r>
            <w:r>
              <w:rPr>
                <w:rFonts w:hint="eastAsia" w:ascii="宋体" w:hAnsi="宋体" w:cs="宋体"/>
                <w:sz w:val="24"/>
                <w:szCs w:val="24"/>
                <w:highlight w:val="none"/>
                <w:lang w:val="en-US" w:eastAsia="zh-CN"/>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14</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运输箱</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15</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手术直播转接线</w:t>
            </w:r>
          </w:p>
        </w:tc>
        <w:tc>
          <w:tcPr>
            <w:tcW w:w="4037" w:type="dxa"/>
            <w:gridSpan w:val="4"/>
            <w:noWrap/>
            <w:vAlign w:val="center"/>
          </w:tcPr>
          <w:p>
            <w:pPr>
              <w:spacing w:line="400" w:lineRule="exact"/>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16</w:t>
            </w:r>
          </w:p>
        </w:tc>
        <w:tc>
          <w:tcPr>
            <w:tcW w:w="4872" w:type="dxa"/>
            <w:gridSpan w:val="2"/>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手术器械</w:t>
            </w:r>
          </w:p>
        </w:tc>
        <w:tc>
          <w:tcPr>
            <w:tcW w:w="4037" w:type="dxa"/>
            <w:gridSpan w:val="4"/>
            <w:noWrap/>
            <w:vAlign w:val="center"/>
          </w:tcPr>
          <w:p>
            <w:pPr>
              <w:spacing w:line="400" w:lineRule="exact"/>
              <w:jc w:val="center"/>
              <w:rPr>
                <w:rFonts w:ascii="宋体" w:hAnsi="宋体" w:cs="宋体"/>
                <w:sz w:val="24"/>
                <w:szCs w:val="24"/>
                <w:highlight w:val="none"/>
              </w:rPr>
            </w:pPr>
            <w:r>
              <w:rPr>
                <w:rFonts w:hint="eastAsia" w:ascii="宋体" w:hAnsi="宋体" w:cs="宋体"/>
                <w:sz w:val="24"/>
                <w:szCs w:val="24"/>
                <w:highlight w:val="none"/>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511" w:hRule="atLeast"/>
          <w:jc w:val="center"/>
        </w:trPr>
        <w:tc>
          <w:tcPr>
            <w:tcW w:w="961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4"/>
                <w:szCs w:val="24"/>
                <w:highlight w:val="none"/>
                <w:u w:val="none"/>
                <w:lang w:val="en-US"/>
              </w:rPr>
            </w:pPr>
            <w:r>
              <w:rPr>
                <w:rFonts w:hint="eastAsia" w:ascii="宋体" w:hAnsi="宋体" w:cs="宋体"/>
                <w:b/>
                <w:bCs/>
                <w:i w:val="0"/>
                <w:iCs w:val="0"/>
                <w:color w:val="000000"/>
                <w:kern w:val="0"/>
                <w:sz w:val="24"/>
                <w:szCs w:val="24"/>
                <w:highlight w:val="none"/>
                <w:u w:val="none"/>
                <w:lang w:val="en-US" w:eastAsia="zh-CN" w:bidi="ar"/>
              </w:rPr>
              <w:t>16</w:t>
            </w:r>
            <w:r>
              <w:rPr>
                <w:rFonts w:hint="eastAsia" w:ascii="宋体" w:hAnsi="宋体" w:eastAsia="宋体" w:cs="宋体"/>
                <w:b/>
                <w:bCs/>
                <w:i w:val="0"/>
                <w:iCs w:val="0"/>
                <w:color w:val="000000"/>
                <w:kern w:val="0"/>
                <w:sz w:val="24"/>
                <w:szCs w:val="24"/>
                <w:highlight w:val="none"/>
                <w:u w:val="none"/>
                <w:lang w:val="en-US" w:eastAsia="zh-CN" w:bidi="ar"/>
              </w:rPr>
              <w:t>手术器械</w:t>
            </w:r>
            <w:r>
              <w:rPr>
                <w:rFonts w:hint="eastAsia" w:ascii="宋体" w:hAnsi="宋体" w:cs="宋体"/>
                <w:b/>
                <w:bCs/>
                <w:i w:val="0"/>
                <w:iCs w:val="0"/>
                <w:color w:val="000000"/>
                <w:kern w:val="0"/>
                <w:sz w:val="24"/>
                <w:szCs w:val="24"/>
                <w:highlight w:val="none"/>
                <w:u w:val="none"/>
                <w:lang w:val="en-US" w:eastAsia="zh-CN" w:bidi="ar"/>
              </w:rPr>
              <w:t>配</w:t>
            </w:r>
            <w:r>
              <w:rPr>
                <w:rFonts w:hint="eastAsia" w:ascii="宋体" w:hAnsi="宋体" w:cs="宋体"/>
                <w:b/>
                <w:bCs/>
                <w:i w:val="0"/>
                <w:iCs w:val="0"/>
                <w:color w:val="000000"/>
                <w:kern w:val="0"/>
                <w:sz w:val="24"/>
                <w:szCs w:val="24"/>
                <w:highlight w:val="none"/>
                <w:u w:val="none"/>
                <w:lang w:val="en-US" w:eastAsia="zh-CN" w:bidi="ar"/>
              </w:rPr>
              <w:t>置清单及要求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highlight w:val="none"/>
                <w:u w:val="none"/>
                <w:lang w:val="en-US" w:eastAsia="zh-CN" w:bidi="ar-SA"/>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highlight w:val="none"/>
                <w:u w:val="none"/>
                <w:lang w:val="en-US" w:eastAsia="zh-CN" w:bidi="ar-SA"/>
              </w:rPr>
            </w:pPr>
            <w:r>
              <w:rPr>
                <w:rFonts w:hint="eastAsia" w:ascii="宋体" w:hAnsi="宋体" w:eastAsia="宋体" w:cs="宋体"/>
                <w:b/>
                <w:bCs/>
                <w:i w:val="0"/>
                <w:iCs w:val="0"/>
                <w:color w:val="000000"/>
                <w:kern w:val="0"/>
                <w:sz w:val="24"/>
                <w:szCs w:val="24"/>
                <w:highlight w:val="none"/>
                <w:u w:val="none"/>
                <w:lang w:val="en-US" w:eastAsia="zh-CN" w:bidi="ar"/>
              </w:rPr>
              <w:t>名称</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highlight w:val="none"/>
                <w:u w:val="none"/>
                <w:lang w:val="en-US" w:eastAsia="zh-CN" w:bidi="ar-SA"/>
              </w:rPr>
            </w:pPr>
            <w:r>
              <w:rPr>
                <w:rFonts w:hint="eastAsia" w:ascii="宋体" w:hAnsi="宋体" w:eastAsia="宋体" w:cs="宋体"/>
                <w:b/>
                <w:bCs/>
                <w:i w:val="0"/>
                <w:iCs w:val="0"/>
                <w:color w:val="000000"/>
                <w:kern w:val="0"/>
                <w:sz w:val="24"/>
                <w:szCs w:val="24"/>
                <w:highlight w:val="none"/>
                <w:u w:val="none"/>
                <w:lang w:val="en-US" w:eastAsia="zh-CN" w:bidi="ar"/>
              </w:rPr>
              <w:t>参数描述</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highlight w:val="none"/>
                <w:u w:val="none"/>
                <w:lang w:val="en-US" w:eastAsia="zh-CN" w:bidi="ar-SA"/>
              </w:rPr>
            </w:pPr>
            <w:r>
              <w:rPr>
                <w:rFonts w:hint="eastAsia" w:ascii="宋体" w:hAnsi="宋体" w:eastAsia="宋体" w:cs="宋体"/>
                <w:b/>
                <w:bCs/>
                <w:i w:val="0"/>
                <w:iCs w:val="0"/>
                <w:color w:val="000000"/>
                <w:kern w:val="0"/>
                <w:sz w:val="24"/>
                <w:szCs w:val="24"/>
                <w:highlight w:val="none"/>
                <w:u w:val="none"/>
                <w:lang w:val="en-US" w:eastAsia="zh-CN" w:bidi="ar"/>
              </w:rPr>
              <w:t>数量</w:t>
            </w:r>
          </w:p>
        </w:tc>
        <w:tc>
          <w:tcPr>
            <w:tcW w:w="16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highlight w:val="none"/>
                <w:u w:val="none"/>
                <w:lang w:val="en-US" w:eastAsia="zh-CN" w:bidi="ar-SA"/>
              </w:rPr>
            </w:pPr>
            <w:r>
              <w:rPr>
                <w:rFonts w:hint="eastAsia" w:ascii="宋体" w:hAnsi="宋体" w:eastAsia="宋体" w:cs="宋体"/>
                <w:b/>
                <w:bCs/>
                <w:i w:val="0"/>
                <w:iCs w:val="0"/>
                <w:color w:val="000000"/>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手术剪</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心血管解剖分离剪，环柄，长18.0cm±1cm, ≤45º 超锋利型，不锈钢材质，器械表面哑光处理。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002"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手术剪</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碳坞镶片解剖分离剪，精细型 弯型，长20cm±1cm, 超锋利型，环柄不锈钢材质，器械表面哑光处理。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持针钳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持针器，碳钨镶片型 正常浮雕 直型，长20.0cm±1cm，环柄，不锈钢材质，器械表面哑光处理。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持针钳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显微持针钳， 长18.0cm±1cm直头 滚花圆柄，带锁扣，不锈钢材质，器械表面哑光处理。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显微镊</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显微抓持镊，长18.0cm ±1cm,头端直径≤1.0mm 锯齿状， 滚花圆柄，不锈钢材质，器械表面哑光处理。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979"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显微镊</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，显微抓持镊，直型 ，长18.0cm ±1cm,头端直径1.2mm 滚花圆柄，不锈钢材质，器械表面哑光处理。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组织镊</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，无损伤血管组织镊，长20.0cm±1cm，头端直径 1.5mm 扁柄，不锈钢材质，器械表面哑光处理。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组织镊</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Bakey齿，无损伤血管组织镊，长20.0cm±1cm， 头端直径≤2.0mm 扁柄，不锈钢材质，器械表面哑光处理。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Bakey齿，无损伤哈巴狗颈动脉夹，11.0cm±1cm, 左弯型，不锈钢材质，器械表面哑光处理。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，无损伤哈巴狗颈动脉夹，11.0cm ±1cm, 右弯型，不锈钢材质，器械表面哑光处理。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219"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，无损伤多功能心血管钳，（儿童型）长12.0cm±1cm，弧弯型，钛合金材质。</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122"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，无损伤多功能心血管钳，（儿童型）13.0cm±1cm，45度角弯，钛合金材质。</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08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13</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 分离结扎钳， 长18.0cm ±1cm,直角钳，半齿，精细头端，不锈钢材质，器械表面哑光处理。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182"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14</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颈动脉流转钳，长19.0cm ±1cm,角弯，直径≤4.5cm，不锈钢材质，器械表面哑光处理。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242"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15</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颈动脉流转钳，长18.0cm±1cm, 角弯，直径≤1.0cm，不锈钢材质，器械表面哑光处理。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16</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剥离器</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剥离器，长18.0cm±1cm， 双头，2mm*3mm，不锈钢材质，器械表面哑光处理。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099"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17</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牵开器</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牵开器，长16.0cm±1cm， 双关节 3.0x4.0齿，不锈钢材质，器械表面哑光处理。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182"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18</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牵开器</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牵开器，有中央叶片， 长16.5cm±1cm， 3.0x4.0 齿钝，三向牵开，不锈钢材质，器械表面哑光处理。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182"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无损伤多功能血管阻断钳，长25.0cm±1cm， 角弯≤60度，不锈钢材质，器械表面哑光处理。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182"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无损伤多功能血管阻断钳，长21.0cm±1cm， 角弯≤60度，不锈钢材质，器械表面哑光处理。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099"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21</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无损伤心血管吻合钳，长21.0cm±1cm， 双角弯， S型钳身，不锈钢材质，器械表面哑光处理。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32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22</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无损伤多功能血管阻断钳，长20.0cm±1cm， 角弯≤60度，不锈钢材质，器械表面哑光处理。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1182"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23</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止血钳</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无损伤多功能心血管钳，15.0cm±1cm，≤30度角弯，钛合金材质。</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24</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止血夹</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，无损伤哈巴狗夹，弯型 8.5cm±1cm，不锈钢材质，器械表面哑光处理。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25</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止血夹</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防损伤哈巴狗夹，≤45度角弯， 50.0mm ±10mm，14.0mm颌口，不锈钢材质，器械表面哑光处理。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26</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止血夹</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Bakey齿，无损伤哈巴狗夹，弯型 ，7.0cm±1cm，不锈钢材质，器械表面哑光处理。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27</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止血夹</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无损伤哈巴狗夹，直型 7.5cm±1cm，不锈钢材质，器械表面哑光处理。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28</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止血夹</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无损伤哈巴狗夹，直型 50.0mm±10mm, 14.0mm颌口，不锈钢材质，器械表面哑光处理。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0" w:type="dxa"/>
          <w:trHeight w:val="8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29</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止血夹</w:t>
            </w:r>
          </w:p>
        </w:tc>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De Bakey齿 ，无损伤哈巴狗夹，≤45度角弯 50.0mm±10mm, 10.0mm颌口，不锈钢材质，器械表面哑光处理。</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把</w:t>
            </w:r>
          </w:p>
        </w:tc>
      </w:tr>
    </w:tbl>
    <w:p>
      <w:pPr>
        <w:bidi w:val="0"/>
        <w:rPr>
          <w:rFonts w:hint="eastAsia"/>
          <w:highlight w:val="none"/>
        </w:rPr>
      </w:pPr>
    </w:p>
    <w:p>
      <w:pPr>
        <w:snapToGrid w:val="0"/>
        <w:spacing w:beforeLines="20" w:afterLines="20" w:line="360" w:lineRule="auto"/>
        <w:textAlignment w:val="baseline"/>
        <w:rPr>
          <w:rFonts w:ascii="宋体" w:hAnsi="宋体"/>
          <w:b/>
          <w:color w:val="FF0000"/>
          <w:sz w:val="24"/>
          <w:szCs w:val="22"/>
          <w:highlight w:val="none"/>
        </w:rPr>
      </w:pPr>
      <w:r>
        <w:rPr>
          <w:rFonts w:hint="eastAsia" w:ascii="宋体" w:hAnsi="宋体"/>
          <w:b/>
          <w:color w:val="FF0000"/>
          <w:sz w:val="24"/>
          <w:szCs w:val="22"/>
          <w:highlight w:val="none"/>
        </w:rPr>
        <w:t>备注：两种所投设备类型必须为二类医疗器械及以上。</w:t>
      </w:r>
    </w:p>
    <w:p>
      <w:pPr>
        <w:snapToGrid w:val="0"/>
        <w:spacing w:beforeLines="20" w:afterLines="20" w:line="360" w:lineRule="auto"/>
        <w:textAlignment w:val="baseline"/>
      </w:pPr>
      <w:r>
        <w:rPr>
          <w:rFonts w:ascii="宋体" w:hAnsi="宋体"/>
          <w:b/>
          <w:sz w:val="24"/>
          <w:szCs w:val="22"/>
          <w:highlight w:val="none"/>
        </w:rPr>
        <w:t>注：</w:t>
      </w:r>
      <w:r>
        <w:rPr>
          <w:rFonts w:hint="eastAsia" w:ascii="宋体" w:hAnsi="宋体"/>
          <w:b/>
          <w:sz w:val="24"/>
          <w:szCs w:val="22"/>
          <w:highlight w:val="none"/>
          <w:lang w:val="en-GB"/>
        </w:rPr>
        <w:t>在本《招标文件》其它章节中若出现与本章要求不一致之处，以本章节具体要求为准。本章节未述及者以</w:t>
      </w:r>
      <w:bookmarkStart w:id="0" w:name="_GoBack"/>
      <w:bookmarkEnd w:id="0"/>
      <w:r>
        <w:rPr>
          <w:rFonts w:hint="eastAsia" w:ascii="宋体" w:hAnsi="宋体"/>
          <w:b/>
          <w:sz w:val="24"/>
          <w:szCs w:val="22"/>
          <w:highlight w:val="none"/>
          <w:lang w:val="en-GB"/>
        </w:rPr>
        <w:t>本《招标文件》</w:t>
      </w:r>
      <w:r>
        <w:rPr>
          <w:rFonts w:hint="eastAsia" w:ascii="宋体" w:hAnsi="宋体"/>
          <w:b/>
          <w:sz w:val="24"/>
          <w:szCs w:val="22"/>
          <w:lang w:val="en-GB"/>
        </w:rPr>
        <w:t>其他章节为准。</w:t>
      </w:r>
    </w:p>
    <w:sectPr>
      <w:headerReference r:id="rId6" w:type="default"/>
      <w:footerReference r:id="rId7" w:type="default"/>
      <w:pgSz w:w="11906" w:h="16838"/>
      <w:pgMar w:top="1418" w:right="1385" w:bottom="1134" w:left="1701"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10609000101010101"/>
    <w:charset w:val="88"/>
    <w:family w:val="modern"/>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华文楷体">
    <w:panose1 w:val="02010600040101010101"/>
    <w:charset w:val="86"/>
    <w:family w:val="auto"/>
    <w:pitch w:val="default"/>
    <w:sig w:usb0="00000287" w:usb1="080F0000" w:usb2="00000000" w:usb3="00000000" w:csb0="0004009F" w:csb1="DFD70000"/>
  </w:font>
  <w:font w:name="经典粗黑简">
    <w:altName w:val="宋体"/>
    <w:panose1 w:val="00000000000000000000"/>
    <w:charset w:val="86"/>
    <w:family w:val="modern"/>
    <w:pitch w:val="default"/>
    <w:sig w:usb0="00000000" w:usb1="00000000" w:usb2="0000001E" w:usb3="00000000" w:csb0="00040000" w:csb1="00000000"/>
  </w:font>
  <w:font w:name="方正楷体简体">
    <w:altName w:val="宋体"/>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left" w:pos="3405"/>
        <w:tab w:val="center" w:pos="4213"/>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left" w:pos="3405"/>
        <w:tab w:val="center" w:pos="4213"/>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73" w:firstLineChars="204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14"/>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aGmCS9MAAAAFAQAADwAAAAAAAAABACAA&#10;AAAiAAAAZHJzL2Rvd25yZXYueG1sUEsBAhQAFAAAAAgAh07iQKnJr7/ZAQAAtAMAAA4AAAAAAAAA&#10;AQAgAAAAIgEAAGRycy9lMm9Eb2MueG1sUEsFBgAAAAAGAAYAWQEAAG0FAAAAAA==&#10;">
              <v:fill on="f" focussize="0,0"/>
              <v:stroke on="f" weight="1.2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393"/>
        <w:tab w:val="clear" w:pos="4153"/>
        <w:tab w:val="clear" w:pos="8306"/>
      </w:tabs>
      <w:jc w:val="both"/>
    </w:pPr>
    <w:r>
      <w:drawing>
        <wp:inline distT="0" distB="0" distL="114300" distR="114300">
          <wp:extent cx="5123815" cy="657225"/>
          <wp:effectExtent l="0" t="0" r="635" b="9525"/>
          <wp:docPr id="2" name="图片 1" descr="页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页眉"/>
                  <pic:cNvPicPr>
                    <a:picLocks noChangeAspect="1"/>
                  </pic:cNvPicPr>
                </pic:nvPicPr>
                <pic:blipFill>
                  <a:blip r:embed="rId1"/>
                  <a:stretch>
                    <a:fillRect/>
                  </a:stretch>
                </pic:blipFill>
                <pic:spPr>
                  <a:xfrm>
                    <a:off x="0" y="0"/>
                    <a:ext cx="5123815" cy="657225"/>
                  </a:xfrm>
                  <a:prstGeom prst="rect">
                    <a:avLst/>
                  </a:prstGeom>
                  <a:noFill/>
                  <a:ln>
                    <a:noFill/>
                  </a:ln>
                </pic:spPr>
              </pic:pic>
            </a:graphicData>
          </a:graphic>
        </wp:inline>
      </w:drawing>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single" w:color="auto" w:sz="4" w:space="1"/>
      </w:pBdr>
      <w:tabs>
        <w:tab w:val="center" w:pos="4393"/>
        <w:tab w:val="clear" w:pos="4153"/>
        <w:tab w:val="clear" w:pos="8306"/>
      </w:tabs>
      <w:jc w:val="both"/>
      <w:rPr>
        <w:sz w:val="15"/>
        <w:szCs w:val="15"/>
        <w:u w:val="single"/>
      </w:rPr>
    </w:pPr>
    <w:r>
      <w:rPr>
        <w:rFonts w:hint="eastAsia" w:ascii="宋体" w:hAnsi="宋体"/>
        <w:sz w:val="21"/>
        <w:szCs w:val="21"/>
      </w:rPr>
      <w:t>项目名称：2023年骨伤医学中心设备购置项目（二次招标）项目编号：</w:t>
    </w:r>
    <w:r>
      <w:rPr>
        <w:rFonts w:hint="eastAsia"/>
        <w:color w:val="000000"/>
        <w:sz w:val="22"/>
        <w:szCs w:val="22"/>
      </w:rPr>
      <w:t>1934-234GK2023020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japaneseCounting"/>
      <w:lvlText w:val="第%1章"/>
      <w:lvlJc w:val="left"/>
      <w:pPr>
        <w:tabs>
          <w:tab w:val="left" w:pos="2685"/>
        </w:tabs>
        <w:ind w:left="2685" w:hanging="1410"/>
      </w:pPr>
      <w:rPr>
        <w:rFonts w:hint="eastAsia"/>
        <w:lang w:val="en-US"/>
      </w:rPr>
    </w:lvl>
    <w:lvl w:ilvl="1" w:tentative="0">
      <w:start w:val="1"/>
      <w:numFmt w:val="lowerLetter"/>
      <w:lvlText w:val="%2)"/>
      <w:lvlJc w:val="left"/>
      <w:pPr>
        <w:tabs>
          <w:tab w:val="left" w:pos="840"/>
        </w:tabs>
        <w:ind w:left="840" w:hanging="420"/>
      </w:pPr>
    </w:lvl>
    <w:lvl w:ilvl="2" w:tentative="0">
      <w:start w:val="1"/>
      <w:numFmt w:val="decimal"/>
      <w:lvlText w:val="5.3.%3"/>
      <w:lvlJc w:val="left"/>
      <w:pPr>
        <w:tabs>
          <w:tab w:val="left" w:pos="1560"/>
        </w:tabs>
        <w:ind w:left="1265" w:hanging="425"/>
      </w:pPr>
      <w:rPr>
        <w:rFonts w:hint="eastAsia"/>
      </w:rPr>
    </w:lvl>
    <w:lvl w:ilvl="3" w:tentative="0">
      <w:start w:val="1"/>
      <w:numFmt w:val="decimal"/>
      <w:lvlText w:val="5.4.%4"/>
      <w:lvlJc w:val="left"/>
      <w:pPr>
        <w:tabs>
          <w:tab w:val="left" w:pos="1980"/>
        </w:tabs>
        <w:ind w:left="1685" w:hanging="425"/>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xN2ZhZTJhODYwZjE4MGFmMWYyNTJkN2YxZmRkYTYifQ=="/>
    <w:docVar w:name="KSO_WPS_MARK_KEY" w:val="284dca41-6504-4b56-9499-8efac2354295"/>
  </w:docVars>
  <w:rsids>
    <w:rsidRoot w:val="00172A27"/>
    <w:rsid w:val="0000413B"/>
    <w:rsid w:val="00005DED"/>
    <w:rsid w:val="00032F70"/>
    <w:rsid w:val="00067DC6"/>
    <w:rsid w:val="00073077"/>
    <w:rsid w:val="00084841"/>
    <w:rsid w:val="0009325F"/>
    <w:rsid w:val="000962BF"/>
    <w:rsid w:val="00097A74"/>
    <w:rsid w:val="000A276B"/>
    <w:rsid w:val="000B3133"/>
    <w:rsid w:val="000C0783"/>
    <w:rsid w:val="000D3557"/>
    <w:rsid w:val="000E1338"/>
    <w:rsid w:val="000E437C"/>
    <w:rsid w:val="00106CD3"/>
    <w:rsid w:val="001262AE"/>
    <w:rsid w:val="00172A27"/>
    <w:rsid w:val="00173197"/>
    <w:rsid w:val="00183F65"/>
    <w:rsid w:val="001A4A29"/>
    <w:rsid w:val="001A57CD"/>
    <w:rsid w:val="001C54AC"/>
    <w:rsid w:val="001D4B8F"/>
    <w:rsid w:val="001E1E94"/>
    <w:rsid w:val="001F1A34"/>
    <w:rsid w:val="00247FFC"/>
    <w:rsid w:val="0028750D"/>
    <w:rsid w:val="00297087"/>
    <w:rsid w:val="002A3C05"/>
    <w:rsid w:val="002A799C"/>
    <w:rsid w:val="002D14AF"/>
    <w:rsid w:val="002D32A5"/>
    <w:rsid w:val="002E5D6B"/>
    <w:rsid w:val="0030105E"/>
    <w:rsid w:val="00316D1D"/>
    <w:rsid w:val="0032479D"/>
    <w:rsid w:val="00332769"/>
    <w:rsid w:val="003402D9"/>
    <w:rsid w:val="0036606A"/>
    <w:rsid w:val="00392D4E"/>
    <w:rsid w:val="0039456F"/>
    <w:rsid w:val="0039674F"/>
    <w:rsid w:val="003A2D4E"/>
    <w:rsid w:val="003B58A1"/>
    <w:rsid w:val="003B67C9"/>
    <w:rsid w:val="003C7FD1"/>
    <w:rsid w:val="003D5D27"/>
    <w:rsid w:val="003F5810"/>
    <w:rsid w:val="00417AE3"/>
    <w:rsid w:val="00450021"/>
    <w:rsid w:val="00453C88"/>
    <w:rsid w:val="0046638C"/>
    <w:rsid w:val="00486196"/>
    <w:rsid w:val="004865A3"/>
    <w:rsid w:val="00487BC0"/>
    <w:rsid w:val="00491224"/>
    <w:rsid w:val="0049405E"/>
    <w:rsid w:val="004A55BB"/>
    <w:rsid w:val="004B1F6A"/>
    <w:rsid w:val="004B3132"/>
    <w:rsid w:val="004C0E42"/>
    <w:rsid w:val="004D3F8E"/>
    <w:rsid w:val="005002B5"/>
    <w:rsid w:val="005018B3"/>
    <w:rsid w:val="00522119"/>
    <w:rsid w:val="00537D5D"/>
    <w:rsid w:val="0054250E"/>
    <w:rsid w:val="00542BC5"/>
    <w:rsid w:val="00555D3E"/>
    <w:rsid w:val="00557D73"/>
    <w:rsid w:val="0056458E"/>
    <w:rsid w:val="00564B4C"/>
    <w:rsid w:val="0058403F"/>
    <w:rsid w:val="00590B65"/>
    <w:rsid w:val="00593379"/>
    <w:rsid w:val="005A528F"/>
    <w:rsid w:val="005A7692"/>
    <w:rsid w:val="005B09D3"/>
    <w:rsid w:val="005D6371"/>
    <w:rsid w:val="005E7987"/>
    <w:rsid w:val="00602C1C"/>
    <w:rsid w:val="0063104D"/>
    <w:rsid w:val="00636B7F"/>
    <w:rsid w:val="00657AEB"/>
    <w:rsid w:val="00661E78"/>
    <w:rsid w:val="00667637"/>
    <w:rsid w:val="00687817"/>
    <w:rsid w:val="0069454C"/>
    <w:rsid w:val="00696CA4"/>
    <w:rsid w:val="006A2A7D"/>
    <w:rsid w:val="006C3CC8"/>
    <w:rsid w:val="006D4DBA"/>
    <w:rsid w:val="006E01FC"/>
    <w:rsid w:val="006F2CEA"/>
    <w:rsid w:val="006F7410"/>
    <w:rsid w:val="006F7ABB"/>
    <w:rsid w:val="007014A3"/>
    <w:rsid w:val="00720CB7"/>
    <w:rsid w:val="007314AC"/>
    <w:rsid w:val="007602BF"/>
    <w:rsid w:val="00763C86"/>
    <w:rsid w:val="00774D2C"/>
    <w:rsid w:val="007824B5"/>
    <w:rsid w:val="00785F50"/>
    <w:rsid w:val="007A423E"/>
    <w:rsid w:val="007B1892"/>
    <w:rsid w:val="007B58AE"/>
    <w:rsid w:val="007D1E8A"/>
    <w:rsid w:val="007D6115"/>
    <w:rsid w:val="007E0B78"/>
    <w:rsid w:val="007E2B47"/>
    <w:rsid w:val="007E3D7E"/>
    <w:rsid w:val="00800C01"/>
    <w:rsid w:val="008054F0"/>
    <w:rsid w:val="00814A16"/>
    <w:rsid w:val="0081572B"/>
    <w:rsid w:val="00816C33"/>
    <w:rsid w:val="00820655"/>
    <w:rsid w:val="00821C67"/>
    <w:rsid w:val="00841F4F"/>
    <w:rsid w:val="00843925"/>
    <w:rsid w:val="0084449B"/>
    <w:rsid w:val="00855DA3"/>
    <w:rsid w:val="0086194A"/>
    <w:rsid w:val="0087111A"/>
    <w:rsid w:val="00871BB5"/>
    <w:rsid w:val="0088554A"/>
    <w:rsid w:val="008A05FD"/>
    <w:rsid w:val="008A5FCA"/>
    <w:rsid w:val="008B1C69"/>
    <w:rsid w:val="008C0E7C"/>
    <w:rsid w:val="008C542B"/>
    <w:rsid w:val="008D42DB"/>
    <w:rsid w:val="008E207B"/>
    <w:rsid w:val="008E2AE3"/>
    <w:rsid w:val="008E6C5F"/>
    <w:rsid w:val="008F281B"/>
    <w:rsid w:val="009152D3"/>
    <w:rsid w:val="009234C4"/>
    <w:rsid w:val="0093469D"/>
    <w:rsid w:val="009438FA"/>
    <w:rsid w:val="0096550A"/>
    <w:rsid w:val="0097318A"/>
    <w:rsid w:val="00984EED"/>
    <w:rsid w:val="009B423F"/>
    <w:rsid w:val="009D2A22"/>
    <w:rsid w:val="009D5558"/>
    <w:rsid w:val="009D565D"/>
    <w:rsid w:val="009F18ED"/>
    <w:rsid w:val="00A20878"/>
    <w:rsid w:val="00A21893"/>
    <w:rsid w:val="00A40A75"/>
    <w:rsid w:val="00A4739F"/>
    <w:rsid w:val="00A701B6"/>
    <w:rsid w:val="00A8416A"/>
    <w:rsid w:val="00AA0CCF"/>
    <w:rsid w:val="00AA38C4"/>
    <w:rsid w:val="00AC71D4"/>
    <w:rsid w:val="00AD7760"/>
    <w:rsid w:val="00B03A67"/>
    <w:rsid w:val="00B103C7"/>
    <w:rsid w:val="00B1790B"/>
    <w:rsid w:val="00B2045C"/>
    <w:rsid w:val="00B31AC5"/>
    <w:rsid w:val="00B36B33"/>
    <w:rsid w:val="00B46087"/>
    <w:rsid w:val="00B64D78"/>
    <w:rsid w:val="00B7103C"/>
    <w:rsid w:val="00B7685B"/>
    <w:rsid w:val="00BA4678"/>
    <w:rsid w:val="00BB7CF4"/>
    <w:rsid w:val="00BE56B5"/>
    <w:rsid w:val="00BF1BD1"/>
    <w:rsid w:val="00C0423C"/>
    <w:rsid w:val="00C10FEF"/>
    <w:rsid w:val="00C2151F"/>
    <w:rsid w:val="00C25DB9"/>
    <w:rsid w:val="00C33ADD"/>
    <w:rsid w:val="00C564DD"/>
    <w:rsid w:val="00C873F4"/>
    <w:rsid w:val="00C91B52"/>
    <w:rsid w:val="00CA771D"/>
    <w:rsid w:val="00CB0082"/>
    <w:rsid w:val="00CB2742"/>
    <w:rsid w:val="00CD4911"/>
    <w:rsid w:val="00CD7953"/>
    <w:rsid w:val="00CE0200"/>
    <w:rsid w:val="00CE09F9"/>
    <w:rsid w:val="00D138B6"/>
    <w:rsid w:val="00D2249F"/>
    <w:rsid w:val="00D27606"/>
    <w:rsid w:val="00D33334"/>
    <w:rsid w:val="00D41F88"/>
    <w:rsid w:val="00D464DD"/>
    <w:rsid w:val="00D4769E"/>
    <w:rsid w:val="00D606BA"/>
    <w:rsid w:val="00D73482"/>
    <w:rsid w:val="00D81466"/>
    <w:rsid w:val="00D9124A"/>
    <w:rsid w:val="00D97624"/>
    <w:rsid w:val="00DC45CF"/>
    <w:rsid w:val="00DE5E7C"/>
    <w:rsid w:val="00DF14E1"/>
    <w:rsid w:val="00DF2BA0"/>
    <w:rsid w:val="00E1271A"/>
    <w:rsid w:val="00E2409E"/>
    <w:rsid w:val="00E42689"/>
    <w:rsid w:val="00E46FD5"/>
    <w:rsid w:val="00E52E25"/>
    <w:rsid w:val="00E617C8"/>
    <w:rsid w:val="00E61CCD"/>
    <w:rsid w:val="00E638DA"/>
    <w:rsid w:val="00E76339"/>
    <w:rsid w:val="00E9155A"/>
    <w:rsid w:val="00E97470"/>
    <w:rsid w:val="00EA0641"/>
    <w:rsid w:val="00EA2DAC"/>
    <w:rsid w:val="00EB4EB7"/>
    <w:rsid w:val="00EB6538"/>
    <w:rsid w:val="00EC3AE0"/>
    <w:rsid w:val="00EE4956"/>
    <w:rsid w:val="00EE4DB0"/>
    <w:rsid w:val="00EF0603"/>
    <w:rsid w:val="00EF1541"/>
    <w:rsid w:val="00F001AF"/>
    <w:rsid w:val="00F07D35"/>
    <w:rsid w:val="00F34166"/>
    <w:rsid w:val="00F43C7F"/>
    <w:rsid w:val="00F51DDD"/>
    <w:rsid w:val="00F55A01"/>
    <w:rsid w:val="00F56494"/>
    <w:rsid w:val="00F96D26"/>
    <w:rsid w:val="00FC294F"/>
    <w:rsid w:val="00FF0956"/>
    <w:rsid w:val="01382C31"/>
    <w:rsid w:val="01771B85"/>
    <w:rsid w:val="01BB682D"/>
    <w:rsid w:val="01DC3A5A"/>
    <w:rsid w:val="01F60301"/>
    <w:rsid w:val="01F87DE5"/>
    <w:rsid w:val="021E2FC5"/>
    <w:rsid w:val="02857163"/>
    <w:rsid w:val="02F76F90"/>
    <w:rsid w:val="030735EB"/>
    <w:rsid w:val="03114B74"/>
    <w:rsid w:val="03222944"/>
    <w:rsid w:val="03263B78"/>
    <w:rsid w:val="03634F64"/>
    <w:rsid w:val="036E7CFE"/>
    <w:rsid w:val="03BA3F65"/>
    <w:rsid w:val="03C1174D"/>
    <w:rsid w:val="04380508"/>
    <w:rsid w:val="043F668F"/>
    <w:rsid w:val="04610689"/>
    <w:rsid w:val="046A75D2"/>
    <w:rsid w:val="047036DF"/>
    <w:rsid w:val="04CE7D65"/>
    <w:rsid w:val="04D46B3B"/>
    <w:rsid w:val="04E11CA6"/>
    <w:rsid w:val="04F023E6"/>
    <w:rsid w:val="04F66587"/>
    <w:rsid w:val="05526700"/>
    <w:rsid w:val="05640508"/>
    <w:rsid w:val="056804AB"/>
    <w:rsid w:val="056A4473"/>
    <w:rsid w:val="0577193E"/>
    <w:rsid w:val="059369EE"/>
    <w:rsid w:val="05957CA8"/>
    <w:rsid w:val="05B6480A"/>
    <w:rsid w:val="05E05ABA"/>
    <w:rsid w:val="05EC24D7"/>
    <w:rsid w:val="05EE6BE0"/>
    <w:rsid w:val="068564A9"/>
    <w:rsid w:val="06E75CFF"/>
    <w:rsid w:val="06EA0967"/>
    <w:rsid w:val="073C0D45"/>
    <w:rsid w:val="07686EEB"/>
    <w:rsid w:val="07756C3F"/>
    <w:rsid w:val="07871E7D"/>
    <w:rsid w:val="07E31891"/>
    <w:rsid w:val="07F62CE0"/>
    <w:rsid w:val="082B3B44"/>
    <w:rsid w:val="08762705"/>
    <w:rsid w:val="08A6566E"/>
    <w:rsid w:val="08AC4379"/>
    <w:rsid w:val="08D81C50"/>
    <w:rsid w:val="08F2081D"/>
    <w:rsid w:val="090B1D91"/>
    <w:rsid w:val="09BD7C42"/>
    <w:rsid w:val="09C81AEC"/>
    <w:rsid w:val="09CA0F5B"/>
    <w:rsid w:val="09F4422A"/>
    <w:rsid w:val="09F85FFA"/>
    <w:rsid w:val="0A2A314E"/>
    <w:rsid w:val="0A421ABF"/>
    <w:rsid w:val="0AB11F27"/>
    <w:rsid w:val="0AE95411"/>
    <w:rsid w:val="0AF03834"/>
    <w:rsid w:val="0B534F80"/>
    <w:rsid w:val="0B654DAE"/>
    <w:rsid w:val="0B687B0F"/>
    <w:rsid w:val="0B6D2C8C"/>
    <w:rsid w:val="0B81792A"/>
    <w:rsid w:val="0B94187A"/>
    <w:rsid w:val="0B986355"/>
    <w:rsid w:val="0BAA16A4"/>
    <w:rsid w:val="0BE41F80"/>
    <w:rsid w:val="0BF04E45"/>
    <w:rsid w:val="0BFD58C7"/>
    <w:rsid w:val="0C180343"/>
    <w:rsid w:val="0C1A026C"/>
    <w:rsid w:val="0C275F3F"/>
    <w:rsid w:val="0C5B0590"/>
    <w:rsid w:val="0C7D5C35"/>
    <w:rsid w:val="0C95273D"/>
    <w:rsid w:val="0CB74485"/>
    <w:rsid w:val="0CFF716D"/>
    <w:rsid w:val="0D2F611D"/>
    <w:rsid w:val="0D64730A"/>
    <w:rsid w:val="0D6D0A0A"/>
    <w:rsid w:val="0D804980"/>
    <w:rsid w:val="0D994405"/>
    <w:rsid w:val="0DDA0C0F"/>
    <w:rsid w:val="0E0A6160"/>
    <w:rsid w:val="0E5E1D1C"/>
    <w:rsid w:val="0E6354DA"/>
    <w:rsid w:val="0E910299"/>
    <w:rsid w:val="0E971DAC"/>
    <w:rsid w:val="0EAD1914"/>
    <w:rsid w:val="0ECA7307"/>
    <w:rsid w:val="0F182768"/>
    <w:rsid w:val="0F3122F3"/>
    <w:rsid w:val="0F3B2377"/>
    <w:rsid w:val="10254FCF"/>
    <w:rsid w:val="10F915C1"/>
    <w:rsid w:val="11317630"/>
    <w:rsid w:val="113A1FE0"/>
    <w:rsid w:val="113B70BE"/>
    <w:rsid w:val="114728E7"/>
    <w:rsid w:val="117246CE"/>
    <w:rsid w:val="12952EDB"/>
    <w:rsid w:val="12B1146C"/>
    <w:rsid w:val="12BD2503"/>
    <w:rsid w:val="12E60A06"/>
    <w:rsid w:val="13642715"/>
    <w:rsid w:val="13A33ACB"/>
    <w:rsid w:val="13B94E75"/>
    <w:rsid w:val="13DF5716"/>
    <w:rsid w:val="13EC7F22"/>
    <w:rsid w:val="144C1A4B"/>
    <w:rsid w:val="145B1BEC"/>
    <w:rsid w:val="147049FA"/>
    <w:rsid w:val="14B066FC"/>
    <w:rsid w:val="14B27AFC"/>
    <w:rsid w:val="14EF3F6B"/>
    <w:rsid w:val="14F30166"/>
    <w:rsid w:val="15282FD9"/>
    <w:rsid w:val="15480FA1"/>
    <w:rsid w:val="159A3518"/>
    <w:rsid w:val="15F3619C"/>
    <w:rsid w:val="160227C7"/>
    <w:rsid w:val="162E2871"/>
    <w:rsid w:val="16EF6961"/>
    <w:rsid w:val="16F643D6"/>
    <w:rsid w:val="16FD78D2"/>
    <w:rsid w:val="172A4979"/>
    <w:rsid w:val="172C637F"/>
    <w:rsid w:val="17537D3D"/>
    <w:rsid w:val="175956CC"/>
    <w:rsid w:val="17A91388"/>
    <w:rsid w:val="17DD30DA"/>
    <w:rsid w:val="17E011AA"/>
    <w:rsid w:val="17EB6C6C"/>
    <w:rsid w:val="17F46D06"/>
    <w:rsid w:val="184A11CD"/>
    <w:rsid w:val="184A1503"/>
    <w:rsid w:val="189F73FE"/>
    <w:rsid w:val="18A774B6"/>
    <w:rsid w:val="18B118AD"/>
    <w:rsid w:val="18B54E22"/>
    <w:rsid w:val="18EC5DDB"/>
    <w:rsid w:val="190121A5"/>
    <w:rsid w:val="191A1190"/>
    <w:rsid w:val="193A1008"/>
    <w:rsid w:val="19424F46"/>
    <w:rsid w:val="198518B4"/>
    <w:rsid w:val="19B57481"/>
    <w:rsid w:val="19CE12D1"/>
    <w:rsid w:val="1A8924FB"/>
    <w:rsid w:val="1AC862FF"/>
    <w:rsid w:val="1AE2538B"/>
    <w:rsid w:val="1B1822FC"/>
    <w:rsid w:val="1B3D6725"/>
    <w:rsid w:val="1B6376C3"/>
    <w:rsid w:val="1B74706C"/>
    <w:rsid w:val="1B931AE1"/>
    <w:rsid w:val="1C126385"/>
    <w:rsid w:val="1C34594F"/>
    <w:rsid w:val="1C527F51"/>
    <w:rsid w:val="1C9A6678"/>
    <w:rsid w:val="1CB27118"/>
    <w:rsid w:val="1CB84820"/>
    <w:rsid w:val="1D012D36"/>
    <w:rsid w:val="1D2422D8"/>
    <w:rsid w:val="1D5929B1"/>
    <w:rsid w:val="1D5F77B4"/>
    <w:rsid w:val="1D907F09"/>
    <w:rsid w:val="1DB044C3"/>
    <w:rsid w:val="1E0F11DA"/>
    <w:rsid w:val="1E5170FD"/>
    <w:rsid w:val="1E7230DA"/>
    <w:rsid w:val="1EB4371B"/>
    <w:rsid w:val="1EF21C7C"/>
    <w:rsid w:val="1EF50FAB"/>
    <w:rsid w:val="1EF86D4C"/>
    <w:rsid w:val="1F9A5FFD"/>
    <w:rsid w:val="1FE21D53"/>
    <w:rsid w:val="1FE82531"/>
    <w:rsid w:val="2045278F"/>
    <w:rsid w:val="206606AA"/>
    <w:rsid w:val="20A21577"/>
    <w:rsid w:val="20CD7738"/>
    <w:rsid w:val="210B3DDB"/>
    <w:rsid w:val="211F34E2"/>
    <w:rsid w:val="212E6C65"/>
    <w:rsid w:val="21577120"/>
    <w:rsid w:val="215A451A"/>
    <w:rsid w:val="21673DC2"/>
    <w:rsid w:val="216E7D04"/>
    <w:rsid w:val="219263AA"/>
    <w:rsid w:val="21963787"/>
    <w:rsid w:val="219F4623"/>
    <w:rsid w:val="22297BBA"/>
    <w:rsid w:val="222F6BF8"/>
    <w:rsid w:val="225C5669"/>
    <w:rsid w:val="227815BE"/>
    <w:rsid w:val="229A2437"/>
    <w:rsid w:val="22B55FB5"/>
    <w:rsid w:val="231C71B8"/>
    <w:rsid w:val="23227800"/>
    <w:rsid w:val="233139A1"/>
    <w:rsid w:val="235224BD"/>
    <w:rsid w:val="236A6858"/>
    <w:rsid w:val="239107B6"/>
    <w:rsid w:val="23C62534"/>
    <w:rsid w:val="24523436"/>
    <w:rsid w:val="247E3112"/>
    <w:rsid w:val="248C5333"/>
    <w:rsid w:val="248E2959"/>
    <w:rsid w:val="24960973"/>
    <w:rsid w:val="249742B0"/>
    <w:rsid w:val="2499102F"/>
    <w:rsid w:val="24FB6C53"/>
    <w:rsid w:val="250B298F"/>
    <w:rsid w:val="25582D2A"/>
    <w:rsid w:val="257036E3"/>
    <w:rsid w:val="25B8715D"/>
    <w:rsid w:val="25EC720F"/>
    <w:rsid w:val="25EE211E"/>
    <w:rsid w:val="25F33532"/>
    <w:rsid w:val="25FA451E"/>
    <w:rsid w:val="26156D58"/>
    <w:rsid w:val="26430373"/>
    <w:rsid w:val="26764061"/>
    <w:rsid w:val="2693006D"/>
    <w:rsid w:val="26AC39C7"/>
    <w:rsid w:val="26D33A7E"/>
    <w:rsid w:val="27170788"/>
    <w:rsid w:val="27761C96"/>
    <w:rsid w:val="27816C01"/>
    <w:rsid w:val="278E13C2"/>
    <w:rsid w:val="28223B47"/>
    <w:rsid w:val="287D3DE1"/>
    <w:rsid w:val="28877603"/>
    <w:rsid w:val="28C8445F"/>
    <w:rsid w:val="28E95C5E"/>
    <w:rsid w:val="28EB425C"/>
    <w:rsid w:val="292E0CE4"/>
    <w:rsid w:val="29776804"/>
    <w:rsid w:val="299D58EC"/>
    <w:rsid w:val="29AF4E2C"/>
    <w:rsid w:val="29B669AE"/>
    <w:rsid w:val="29D31F60"/>
    <w:rsid w:val="29E64373"/>
    <w:rsid w:val="2A022FCB"/>
    <w:rsid w:val="2A0A2D20"/>
    <w:rsid w:val="2A0F7295"/>
    <w:rsid w:val="2A2948CC"/>
    <w:rsid w:val="2A5B76CE"/>
    <w:rsid w:val="2A6603D4"/>
    <w:rsid w:val="2A6A5EEF"/>
    <w:rsid w:val="2A780DC8"/>
    <w:rsid w:val="2A7C2638"/>
    <w:rsid w:val="2A847D42"/>
    <w:rsid w:val="2A9E0D44"/>
    <w:rsid w:val="2AAD35BF"/>
    <w:rsid w:val="2AB91740"/>
    <w:rsid w:val="2AC81295"/>
    <w:rsid w:val="2AF9534C"/>
    <w:rsid w:val="2AFB2D17"/>
    <w:rsid w:val="2B007EE4"/>
    <w:rsid w:val="2B121529"/>
    <w:rsid w:val="2B5621F6"/>
    <w:rsid w:val="2BA6372E"/>
    <w:rsid w:val="2BB153E4"/>
    <w:rsid w:val="2BF571D7"/>
    <w:rsid w:val="2C057779"/>
    <w:rsid w:val="2C0B279E"/>
    <w:rsid w:val="2C2A70D3"/>
    <w:rsid w:val="2C2E4971"/>
    <w:rsid w:val="2C421B50"/>
    <w:rsid w:val="2C6702FB"/>
    <w:rsid w:val="2C704C49"/>
    <w:rsid w:val="2CDF5979"/>
    <w:rsid w:val="2D1D68BC"/>
    <w:rsid w:val="2D3E7B36"/>
    <w:rsid w:val="2D435341"/>
    <w:rsid w:val="2DAC4AF6"/>
    <w:rsid w:val="2DCD42C6"/>
    <w:rsid w:val="2DE85D0E"/>
    <w:rsid w:val="2E0954B4"/>
    <w:rsid w:val="2E155673"/>
    <w:rsid w:val="2E3F3363"/>
    <w:rsid w:val="2E8C3D30"/>
    <w:rsid w:val="2EAE09DA"/>
    <w:rsid w:val="2EB931C8"/>
    <w:rsid w:val="2F1B5A0D"/>
    <w:rsid w:val="2F3B32FA"/>
    <w:rsid w:val="2F4E3B9D"/>
    <w:rsid w:val="2F5E6EA0"/>
    <w:rsid w:val="2F6D44FD"/>
    <w:rsid w:val="2F7E4B85"/>
    <w:rsid w:val="2FC35981"/>
    <w:rsid w:val="2FFA1298"/>
    <w:rsid w:val="30001D5D"/>
    <w:rsid w:val="30017DA5"/>
    <w:rsid w:val="300B582E"/>
    <w:rsid w:val="302503E9"/>
    <w:rsid w:val="3034460E"/>
    <w:rsid w:val="304E677B"/>
    <w:rsid w:val="310E3C8E"/>
    <w:rsid w:val="31104BF6"/>
    <w:rsid w:val="3120081A"/>
    <w:rsid w:val="31377F2A"/>
    <w:rsid w:val="3162342E"/>
    <w:rsid w:val="3186135C"/>
    <w:rsid w:val="318E2E84"/>
    <w:rsid w:val="31CE4CCC"/>
    <w:rsid w:val="31F27062"/>
    <w:rsid w:val="325F7C93"/>
    <w:rsid w:val="32841FAD"/>
    <w:rsid w:val="3291459D"/>
    <w:rsid w:val="32981347"/>
    <w:rsid w:val="32E665D3"/>
    <w:rsid w:val="330A71F4"/>
    <w:rsid w:val="33627CC8"/>
    <w:rsid w:val="339910B4"/>
    <w:rsid w:val="33CF0D98"/>
    <w:rsid w:val="33E52369"/>
    <w:rsid w:val="33F07874"/>
    <w:rsid w:val="346159E6"/>
    <w:rsid w:val="347F27BE"/>
    <w:rsid w:val="348C7879"/>
    <w:rsid w:val="34B45628"/>
    <w:rsid w:val="34CF2666"/>
    <w:rsid w:val="34D04DC8"/>
    <w:rsid w:val="34EB1FE1"/>
    <w:rsid w:val="35105A5E"/>
    <w:rsid w:val="353B67BB"/>
    <w:rsid w:val="354C01C6"/>
    <w:rsid w:val="35782C74"/>
    <w:rsid w:val="35BC2330"/>
    <w:rsid w:val="35CF32D1"/>
    <w:rsid w:val="35DA0F2A"/>
    <w:rsid w:val="35E36D7D"/>
    <w:rsid w:val="361C5CD4"/>
    <w:rsid w:val="3629088D"/>
    <w:rsid w:val="36450593"/>
    <w:rsid w:val="366159A0"/>
    <w:rsid w:val="36A247C3"/>
    <w:rsid w:val="36CD0251"/>
    <w:rsid w:val="372C183D"/>
    <w:rsid w:val="373F2714"/>
    <w:rsid w:val="379F4FBC"/>
    <w:rsid w:val="37A3298A"/>
    <w:rsid w:val="37B54209"/>
    <w:rsid w:val="38455974"/>
    <w:rsid w:val="38BB7F6C"/>
    <w:rsid w:val="39156A23"/>
    <w:rsid w:val="3918414A"/>
    <w:rsid w:val="3950391C"/>
    <w:rsid w:val="397F500E"/>
    <w:rsid w:val="3A377B85"/>
    <w:rsid w:val="3A404C7E"/>
    <w:rsid w:val="3A6A4BC6"/>
    <w:rsid w:val="3A700EA9"/>
    <w:rsid w:val="3A856ABD"/>
    <w:rsid w:val="3A9430DE"/>
    <w:rsid w:val="3A9F239E"/>
    <w:rsid w:val="3AB7586C"/>
    <w:rsid w:val="3AF47336"/>
    <w:rsid w:val="3B47549C"/>
    <w:rsid w:val="3B783AC3"/>
    <w:rsid w:val="3BA314D1"/>
    <w:rsid w:val="3C122F14"/>
    <w:rsid w:val="3C214F66"/>
    <w:rsid w:val="3C291261"/>
    <w:rsid w:val="3C2F5736"/>
    <w:rsid w:val="3C7B652B"/>
    <w:rsid w:val="3CB35F44"/>
    <w:rsid w:val="3CF67AE6"/>
    <w:rsid w:val="3D15618D"/>
    <w:rsid w:val="3D2F53DE"/>
    <w:rsid w:val="3D33538E"/>
    <w:rsid w:val="3D445106"/>
    <w:rsid w:val="3D8528DF"/>
    <w:rsid w:val="3DA1611F"/>
    <w:rsid w:val="3DC27BE7"/>
    <w:rsid w:val="3E1B2F76"/>
    <w:rsid w:val="3E484D63"/>
    <w:rsid w:val="3E7A3D97"/>
    <w:rsid w:val="3EAE1FF9"/>
    <w:rsid w:val="3F4422D1"/>
    <w:rsid w:val="3F5173B2"/>
    <w:rsid w:val="3F5C6E4A"/>
    <w:rsid w:val="3F684281"/>
    <w:rsid w:val="3FCE7A21"/>
    <w:rsid w:val="400B27FE"/>
    <w:rsid w:val="400F6492"/>
    <w:rsid w:val="406F476B"/>
    <w:rsid w:val="408B6047"/>
    <w:rsid w:val="40A60D49"/>
    <w:rsid w:val="40B1621B"/>
    <w:rsid w:val="415806B2"/>
    <w:rsid w:val="41760AA5"/>
    <w:rsid w:val="41A42403"/>
    <w:rsid w:val="41D13AE8"/>
    <w:rsid w:val="42224926"/>
    <w:rsid w:val="426E20D5"/>
    <w:rsid w:val="42A86289"/>
    <w:rsid w:val="42AB5BC0"/>
    <w:rsid w:val="42B075A8"/>
    <w:rsid w:val="42B91E46"/>
    <w:rsid w:val="42C1071A"/>
    <w:rsid w:val="4326024F"/>
    <w:rsid w:val="4359469F"/>
    <w:rsid w:val="44281795"/>
    <w:rsid w:val="44627A06"/>
    <w:rsid w:val="44767138"/>
    <w:rsid w:val="451D682F"/>
    <w:rsid w:val="451F1453"/>
    <w:rsid w:val="456726E5"/>
    <w:rsid w:val="4568652E"/>
    <w:rsid w:val="45E12374"/>
    <w:rsid w:val="461C59D4"/>
    <w:rsid w:val="464742E4"/>
    <w:rsid w:val="46911B59"/>
    <w:rsid w:val="46EC5F14"/>
    <w:rsid w:val="475D3E1E"/>
    <w:rsid w:val="47960A93"/>
    <w:rsid w:val="47A322C1"/>
    <w:rsid w:val="47DD3072"/>
    <w:rsid w:val="47E20627"/>
    <w:rsid w:val="47EE36CB"/>
    <w:rsid w:val="47F863F4"/>
    <w:rsid w:val="48384786"/>
    <w:rsid w:val="485505EC"/>
    <w:rsid w:val="486164F8"/>
    <w:rsid w:val="486A702F"/>
    <w:rsid w:val="4882719F"/>
    <w:rsid w:val="48A24EEA"/>
    <w:rsid w:val="48DC3E9F"/>
    <w:rsid w:val="490109B1"/>
    <w:rsid w:val="490C1624"/>
    <w:rsid w:val="49196832"/>
    <w:rsid w:val="493D5EBB"/>
    <w:rsid w:val="494B7533"/>
    <w:rsid w:val="49B303BC"/>
    <w:rsid w:val="49CF1CB0"/>
    <w:rsid w:val="49E725D6"/>
    <w:rsid w:val="49EA64D4"/>
    <w:rsid w:val="4A127069"/>
    <w:rsid w:val="4A690647"/>
    <w:rsid w:val="4A955E19"/>
    <w:rsid w:val="4AA06B93"/>
    <w:rsid w:val="4ABB1795"/>
    <w:rsid w:val="4AD2268E"/>
    <w:rsid w:val="4B123DB7"/>
    <w:rsid w:val="4B1D7EA9"/>
    <w:rsid w:val="4B450486"/>
    <w:rsid w:val="4B454C44"/>
    <w:rsid w:val="4B7A39C8"/>
    <w:rsid w:val="4B8C6623"/>
    <w:rsid w:val="4C0833FA"/>
    <w:rsid w:val="4C164B52"/>
    <w:rsid w:val="4C3677AE"/>
    <w:rsid w:val="4C3A64FD"/>
    <w:rsid w:val="4CCE5C39"/>
    <w:rsid w:val="4CED21B3"/>
    <w:rsid w:val="4D647149"/>
    <w:rsid w:val="4D7E4ADE"/>
    <w:rsid w:val="4DD71AF6"/>
    <w:rsid w:val="4E1E52F7"/>
    <w:rsid w:val="4E555EE6"/>
    <w:rsid w:val="4EB66985"/>
    <w:rsid w:val="4EC155DD"/>
    <w:rsid w:val="4F160BB0"/>
    <w:rsid w:val="4F78683E"/>
    <w:rsid w:val="4FC76832"/>
    <w:rsid w:val="4FF15CB2"/>
    <w:rsid w:val="501E07BA"/>
    <w:rsid w:val="50245B70"/>
    <w:rsid w:val="50337222"/>
    <w:rsid w:val="506C56E1"/>
    <w:rsid w:val="506F14E1"/>
    <w:rsid w:val="50C85449"/>
    <w:rsid w:val="51096D23"/>
    <w:rsid w:val="511E1ED9"/>
    <w:rsid w:val="51714DE5"/>
    <w:rsid w:val="517555E9"/>
    <w:rsid w:val="5176473E"/>
    <w:rsid w:val="517A6A24"/>
    <w:rsid w:val="51803D33"/>
    <w:rsid w:val="51BF26A8"/>
    <w:rsid w:val="52B16CD7"/>
    <w:rsid w:val="52C1798F"/>
    <w:rsid w:val="53493DB8"/>
    <w:rsid w:val="53656011"/>
    <w:rsid w:val="539D32CF"/>
    <w:rsid w:val="541C0092"/>
    <w:rsid w:val="542E520F"/>
    <w:rsid w:val="544703C1"/>
    <w:rsid w:val="545A4E5E"/>
    <w:rsid w:val="549921DB"/>
    <w:rsid w:val="54CD5099"/>
    <w:rsid w:val="54D02249"/>
    <w:rsid w:val="54D67CF9"/>
    <w:rsid w:val="54EF1534"/>
    <w:rsid w:val="552A48DA"/>
    <w:rsid w:val="552C13DA"/>
    <w:rsid w:val="552E1B67"/>
    <w:rsid w:val="553F67E4"/>
    <w:rsid w:val="55617C0C"/>
    <w:rsid w:val="55725D65"/>
    <w:rsid w:val="55D75DD4"/>
    <w:rsid w:val="56035F5E"/>
    <w:rsid w:val="562E2A2C"/>
    <w:rsid w:val="56365B6C"/>
    <w:rsid w:val="56A1616C"/>
    <w:rsid w:val="56A7023F"/>
    <w:rsid w:val="571701DC"/>
    <w:rsid w:val="578810DA"/>
    <w:rsid w:val="57BE5967"/>
    <w:rsid w:val="58196660"/>
    <w:rsid w:val="584C5AD4"/>
    <w:rsid w:val="585530D0"/>
    <w:rsid w:val="586646CA"/>
    <w:rsid w:val="58E927EE"/>
    <w:rsid w:val="58F73020"/>
    <w:rsid w:val="590E3CFE"/>
    <w:rsid w:val="597903E2"/>
    <w:rsid w:val="59947B3A"/>
    <w:rsid w:val="59E005D7"/>
    <w:rsid w:val="5A034E53"/>
    <w:rsid w:val="5A3049F8"/>
    <w:rsid w:val="5A5B4884"/>
    <w:rsid w:val="5A6F20DD"/>
    <w:rsid w:val="5A842E13"/>
    <w:rsid w:val="5A854A83"/>
    <w:rsid w:val="5AA24261"/>
    <w:rsid w:val="5ABB5323"/>
    <w:rsid w:val="5ADF1A66"/>
    <w:rsid w:val="5AEC1C95"/>
    <w:rsid w:val="5B2E6FF3"/>
    <w:rsid w:val="5B49517B"/>
    <w:rsid w:val="5B5A62ED"/>
    <w:rsid w:val="5B767BC7"/>
    <w:rsid w:val="5BB5526C"/>
    <w:rsid w:val="5BDB151B"/>
    <w:rsid w:val="5BEB06A5"/>
    <w:rsid w:val="5BF12D22"/>
    <w:rsid w:val="5C082311"/>
    <w:rsid w:val="5C186ED1"/>
    <w:rsid w:val="5C2421EB"/>
    <w:rsid w:val="5C624454"/>
    <w:rsid w:val="5C82259C"/>
    <w:rsid w:val="5CA644DC"/>
    <w:rsid w:val="5CA93FCA"/>
    <w:rsid w:val="5CAB11AD"/>
    <w:rsid w:val="5CD27878"/>
    <w:rsid w:val="5CDC49CB"/>
    <w:rsid w:val="5DC42740"/>
    <w:rsid w:val="5DD12FFB"/>
    <w:rsid w:val="5E255A44"/>
    <w:rsid w:val="5E6E3037"/>
    <w:rsid w:val="5E6F6B50"/>
    <w:rsid w:val="5E7F78C6"/>
    <w:rsid w:val="5E952B88"/>
    <w:rsid w:val="5E9A20C9"/>
    <w:rsid w:val="5EB91BBC"/>
    <w:rsid w:val="5ECC4913"/>
    <w:rsid w:val="5F246925"/>
    <w:rsid w:val="5F681637"/>
    <w:rsid w:val="5F7A33D3"/>
    <w:rsid w:val="5F932AD9"/>
    <w:rsid w:val="5FED38CE"/>
    <w:rsid w:val="600225BA"/>
    <w:rsid w:val="601A4071"/>
    <w:rsid w:val="609A15D7"/>
    <w:rsid w:val="61C947C9"/>
    <w:rsid w:val="62127F1E"/>
    <w:rsid w:val="62374049"/>
    <w:rsid w:val="62513DB2"/>
    <w:rsid w:val="62516EA5"/>
    <w:rsid w:val="628E36D9"/>
    <w:rsid w:val="62D646DE"/>
    <w:rsid w:val="62FF4946"/>
    <w:rsid w:val="630614B9"/>
    <w:rsid w:val="63260974"/>
    <w:rsid w:val="634936DF"/>
    <w:rsid w:val="63593F93"/>
    <w:rsid w:val="635F7193"/>
    <w:rsid w:val="636E3CCF"/>
    <w:rsid w:val="639A4C83"/>
    <w:rsid w:val="63A3091A"/>
    <w:rsid w:val="63AB4E2D"/>
    <w:rsid w:val="63C56A40"/>
    <w:rsid w:val="63F17D91"/>
    <w:rsid w:val="64264155"/>
    <w:rsid w:val="642B6802"/>
    <w:rsid w:val="64462940"/>
    <w:rsid w:val="6454481E"/>
    <w:rsid w:val="649A6672"/>
    <w:rsid w:val="649C0D31"/>
    <w:rsid w:val="64A137DB"/>
    <w:rsid w:val="64DE340A"/>
    <w:rsid w:val="64DE70BF"/>
    <w:rsid w:val="65B11DA3"/>
    <w:rsid w:val="65B25CA0"/>
    <w:rsid w:val="65C40D75"/>
    <w:rsid w:val="65DE0B6B"/>
    <w:rsid w:val="65DE7F64"/>
    <w:rsid w:val="65ED0C48"/>
    <w:rsid w:val="65F77B57"/>
    <w:rsid w:val="664D15A9"/>
    <w:rsid w:val="66546E00"/>
    <w:rsid w:val="668274B1"/>
    <w:rsid w:val="668949FF"/>
    <w:rsid w:val="66C83378"/>
    <w:rsid w:val="66C873C3"/>
    <w:rsid w:val="66FD415C"/>
    <w:rsid w:val="67074E00"/>
    <w:rsid w:val="670D78B6"/>
    <w:rsid w:val="671E0638"/>
    <w:rsid w:val="671F6647"/>
    <w:rsid w:val="673B3E34"/>
    <w:rsid w:val="67694F1E"/>
    <w:rsid w:val="678C5390"/>
    <w:rsid w:val="679F1E93"/>
    <w:rsid w:val="67BD3687"/>
    <w:rsid w:val="67E42D65"/>
    <w:rsid w:val="68570199"/>
    <w:rsid w:val="68E85458"/>
    <w:rsid w:val="697118A0"/>
    <w:rsid w:val="69E53990"/>
    <w:rsid w:val="6A613D1A"/>
    <w:rsid w:val="6A7F69A9"/>
    <w:rsid w:val="6AD6068B"/>
    <w:rsid w:val="6B097D98"/>
    <w:rsid w:val="6B526E05"/>
    <w:rsid w:val="6B6E08BB"/>
    <w:rsid w:val="6B8A64E9"/>
    <w:rsid w:val="6BC1259D"/>
    <w:rsid w:val="6C0401AB"/>
    <w:rsid w:val="6C084E53"/>
    <w:rsid w:val="6C315445"/>
    <w:rsid w:val="6C411A4D"/>
    <w:rsid w:val="6C5A499B"/>
    <w:rsid w:val="6D0832E2"/>
    <w:rsid w:val="6D0C087E"/>
    <w:rsid w:val="6D300B6C"/>
    <w:rsid w:val="6D3D7A1E"/>
    <w:rsid w:val="6DA467A6"/>
    <w:rsid w:val="6DB63633"/>
    <w:rsid w:val="6DE606A1"/>
    <w:rsid w:val="6DEC6EC5"/>
    <w:rsid w:val="6E0C1C45"/>
    <w:rsid w:val="6E86719D"/>
    <w:rsid w:val="6EAD58EE"/>
    <w:rsid w:val="6EDC7674"/>
    <w:rsid w:val="6EE36372"/>
    <w:rsid w:val="6EFC5FA0"/>
    <w:rsid w:val="6F4B00A4"/>
    <w:rsid w:val="6FB81DA5"/>
    <w:rsid w:val="6FD4641F"/>
    <w:rsid w:val="6FD61C76"/>
    <w:rsid w:val="6FDE58E3"/>
    <w:rsid w:val="6FFB4482"/>
    <w:rsid w:val="70090A39"/>
    <w:rsid w:val="703977C4"/>
    <w:rsid w:val="7055204A"/>
    <w:rsid w:val="705A3F77"/>
    <w:rsid w:val="706717E9"/>
    <w:rsid w:val="709303B2"/>
    <w:rsid w:val="70D169F3"/>
    <w:rsid w:val="70E0450F"/>
    <w:rsid w:val="713E4D6A"/>
    <w:rsid w:val="71467BE4"/>
    <w:rsid w:val="71AE347F"/>
    <w:rsid w:val="720A0C12"/>
    <w:rsid w:val="72353CD5"/>
    <w:rsid w:val="72534367"/>
    <w:rsid w:val="728C6B01"/>
    <w:rsid w:val="72906130"/>
    <w:rsid w:val="72A76461"/>
    <w:rsid w:val="72AF2FB8"/>
    <w:rsid w:val="72B72B58"/>
    <w:rsid w:val="72FE3564"/>
    <w:rsid w:val="730F27CE"/>
    <w:rsid w:val="7343262D"/>
    <w:rsid w:val="73590006"/>
    <w:rsid w:val="73724498"/>
    <w:rsid w:val="739716B7"/>
    <w:rsid w:val="73C57AAF"/>
    <w:rsid w:val="73D478FF"/>
    <w:rsid w:val="744C5512"/>
    <w:rsid w:val="745100B4"/>
    <w:rsid w:val="747E0D47"/>
    <w:rsid w:val="748B29D6"/>
    <w:rsid w:val="750B0027"/>
    <w:rsid w:val="75217EC7"/>
    <w:rsid w:val="752900DC"/>
    <w:rsid w:val="759119A1"/>
    <w:rsid w:val="75E023B5"/>
    <w:rsid w:val="76236D1F"/>
    <w:rsid w:val="766A3904"/>
    <w:rsid w:val="76A44F3D"/>
    <w:rsid w:val="76C246A0"/>
    <w:rsid w:val="76E557A9"/>
    <w:rsid w:val="777C48AB"/>
    <w:rsid w:val="77831673"/>
    <w:rsid w:val="779E1105"/>
    <w:rsid w:val="77B70120"/>
    <w:rsid w:val="77C83101"/>
    <w:rsid w:val="77D03301"/>
    <w:rsid w:val="77DF774D"/>
    <w:rsid w:val="78130F22"/>
    <w:rsid w:val="782B708F"/>
    <w:rsid w:val="78570A93"/>
    <w:rsid w:val="7871089A"/>
    <w:rsid w:val="78953EB9"/>
    <w:rsid w:val="79001E86"/>
    <w:rsid w:val="79002405"/>
    <w:rsid w:val="79144B15"/>
    <w:rsid w:val="791C133C"/>
    <w:rsid w:val="79554F6D"/>
    <w:rsid w:val="79682374"/>
    <w:rsid w:val="79BF060E"/>
    <w:rsid w:val="79DC3E36"/>
    <w:rsid w:val="79FC7DE1"/>
    <w:rsid w:val="7A107F05"/>
    <w:rsid w:val="7A1E16FE"/>
    <w:rsid w:val="7A3B6362"/>
    <w:rsid w:val="7A920B6A"/>
    <w:rsid w:val="7A953468"/>
    <w:rsid w:val="7A9E7181"/>
    <w:rsid w:val="7AA56B19"/>
    <w:rsid w:val="7AB43E11"/>
    <w:rsid w:val="7ABD289B"/>
    <w:rsid w:val="7B6C0415"/>
    <w:rsid w:val="7BF375B7"/>
    <w:rsid w:val="7BF5648F"/>
    <w:rsid w:val="7C162E7F"/>
    <w:rsid w:val="7CBA439A"/>
    <w:rsid w:val="7D181D03"/>
    <w:rsid w:val="7D2375ED"/>
    <w:rsid w:val="7D2D00A5"/>
    <w:rsid w:val="7E1633B1"/>
    <w:rsid w:val="7E4E51D5"/>
    <w:rsid w:val="7E5957E6"/>
    <w:rsid w:val="7E5C3F56"/>
    <w:rsid w:val="7E8F4979"/>
    <w:rsid w:val="7EB8618A"/>
    <w:rsid w:val="7F1D4F22"/>
    <w:rsid w:val="7F211381"/>
    <w:rsid w:val="7F6F2A9A"/>
    <w:rsid w:val="7F7236AE"/>
    <w:rsid w:val="7F7B1F3D"/>
    <w:rsid w:val="7FAD1CB7"/>
    <w:rsid w:val="7FB81067"/>
    <w:rsid w:val="7FE959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link w:val="26"/>
    <w:autoRedefine/>
    <w:qFormat/>
    <w:uiPriority w:val="0"/>
    <w:pPr>
      <w:keepNext/>
      <w:outlineLvl w:val="0"/>
    </w:pPr>
    <w:rPr>
      <w:b/>
      <w:bCs/>
      <w:kern w:val="0"/>
      <w:sz w:val="20"/>
      <w:szCs w:val="24"/>
    </w:rPr>
  </w:style>
  <w:style w:type="paragraph" w:styleId="7">
    <w:name w:val="heading 4"/>
    <w:basedOn w:val="1"/>
    <w:next w:val="1"/>
    <w:autoRedefine/>
    <w:qFormat/>
    <w:uiPriority w:val="9"/>
    <w:pPr>
      <w:keepNext/>
      <w:spacing w:before="240" w:after="60"/>
      <w:outlineLvl w:val="3"/>
    </w:pPr>
    <w:rPr>
      <w:rFonts w:ascii="Calibri"/>
      <w:b/>
      <w:bCs/>
      <w:sz w:val="28"/>
      <w:szCs w:val="28"/>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autoRedefine/>
    <w:qFormat/>
    <w:uiPriority w:val="0"/>
    <w:pPr>
      <w:ind w:firstLine="420"/>
    </w:pPr>
  </w:style>
  <w:style w:type="paragraph" w:styleId="3">
    <w:name w:val="Body Text Indent"/>
    <w:basedOn w:val="1"/>
    <w:next w:val="1"/>
    <w:autoRedefine/>
    <w:qFormat/>
    <w:uiPriority w:val="0"/>
    <w:pPr>
      <w:ind w:left="420" w:leftChars="200"/>
    </w:pPr>
  </w:style>
  <w:style w:type="paragraph" w:styleId="4">
    <w:name w:val="Body Text"/>
    <w:basedOn w:val="1"/>
    <w:next w:val="5"/>
    <w:autoRedefine/>
    <w:qFormat/>
    <w:uiPriority w:val="0"/>
  </w:style>
  <w:style w:type="paragraph" w:customStyle="1" w:styleId="5">
    <w:name w:val="引用1"/>
    <w:basedOn w:val="1"/>
    <w:next w:val="1"/>
    <w:autoRedefine/>
    <w:qFormat/>
    <w:uiPriority w:val="99"/>
    <w:rPr>
      <w:rFonts w:ascii="Calibri" w:hAnsi="Calibri" w:cs="Calibri"/>
      <w:i/>
      <w:iCs/>
      <w:color w:val="000000"/>
      <w:sz w:val="22"/>
    </w:rPr>
  </w:style>
  <w:style w:type="paragraph" w:styleId="8">
    <w:name w:val="Normal Indent"/>
    <w:basedOn w:val="1"/>
    <w:autoRedefine/>
    <w:qFormat/>
    <w:uiPriority w:val="0"/>
    <w:pPr>
      <w:spacing w:line="360" w:lineRule="auto"/>
      <w:ind w:firstLine="420" w:firstLineChars="200"/>
    </w:pPr>
    <w:rPr>
      <w:rFonts w:ascii="Calibri"/>
      <w:szCs w:val="24"/>
    </w:rPr>
  </w:style>
  <w:style w:type="paragraph" w:styleId="9">
    <w:name w:val="annotation text"/>
    <w:basedOn w:val="1"/>
    <w:autoRedefine/>
    <w:semiHidden/>
    <w:qFormat/>
    <w:uiPriority w:val="0"/>
    <w:pPr>
      <w:jc w:val="left"/>
    </w:pPr>
  </w:style>
  <w:style w:type="paragraph" w:styleId="10">
    <w:name w:val="Plain Text"/>
    <w:basedOn w:val="1"/>
    <w:link w:val="27"/>
    <w:autoRedefine/>
    <w:qFormat/>
    <w:uiPriority w:val="0"/>
    <w:rPr>
      <w:rFonts w:ascii="宋体" w:hAnsi="Courier New"/>
    </w:rPr>
  </w:style>
  <w:style w:type="paragraph" w:styleId="11">
    <w:name w:val="Date"/>
    <w:basedOn w:val="1"/>
    <w:next w:val="1"/>
    <w:link w:val="28"/>
    <w:autoRedefine/>
    <w:qFormat/>
    <w:uiPriority w:val="0"/>
    <w:pPr>
      <w:ind w:left="100" w:leftChars="2500"/>
    </w:pPr>
    <w:rPr>
      <w:sz w:val="18"/>
      <w:szCs w:val="24"/>
    </w:rPr>
  </w:style>
  <w:style w:type="paragraph" w:styleId="12">
    <w:name w:val="Body Text Indent 2"/>
    <w:basedOn w:val="1"/>
    <w:autoRedefine/>
    <w:qFormat/>
    <w:uiPriority w:val="0"/>
    <w:pPr>
      <w:ind w:firstLine="280" w:firstLineChars="100"/>
    </w:pPr>
    <w:rPr>
      <w:rFonts w:ascii="宋体" w:hAnsi="宋体"/>
      <w:kern w:val="11"/>
      <w:sz w:val="28"/>
    </w:rPr>
  </w:style>
  <w:style w:type="paragraph" w:styleId="13">
    <w:name w:val="Balloon Text"/>
    <w:basedOn w:val="1"/>
    <w:autoRedefine/>
    <w:semiHidden/>
    <w:qFormat/>
    <w:uiPriority w:val="0"/>
    <w:rPr>
      <w:sz w:val="18"/>
      <w:szCs w:val="18"/>
    </w:rPr>
  </w:style>
  <w:style w:type="paragraph" w:styleId="14">
    <w:name w:val="footer"/>
    <w:basedOn w:val="1"/>
    <w:autoRedefine/>
    <w:qFormat/>
    <w:uiPriority w:val="0"/>
    <w:pPr>
      <w:tabs>
        <w:tab w:val="center" w:pos="4153"/>
        <w:tab w:val="right" w:pos="8306"/>
      </w:tabs>
      <w:snapToGrid w:val="0"/>
      <w:jc w:val="left"/>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Subtitle"/>
    <w:basedOn w:val="1"/>
    <w:autoRedefine/>
    <w:qFormat/>
    <w:uiPriority w:val="0"/>
    <w:rPr>
      <w:sz w:val="28"/>
    </w:rPr>
  </w:style>
  <w:style w:type="paragraph" w:styleId="17">
    <w:name w:val="Normal (Web)"/>
    <w:basedOn w:val="1"/>
    <w:autoRedefine/>
    <w:qFormat/>
    <w:uiPriority w:val="0"/>
    <w:pPr>
      <w:widowControl/>
      <w:spacing w:beforeAutospacing="1" w:afterAutospacing="1"/>
      <w:jc w:val="left"/>
    </w:pPr>
    <w:rPr>
      <w:kern w:val="0"/>
      <w:sz w:val="24"/>
      <w:szCs w:val="24"/>
    </w:rPr>
  </w:style>
  <w:style w:type="paragraph" w:styleId="18">
    <w:name w:val="annotation subject"/>
    <w:basedOn w:val="9"/>
    <w:next w:val="9"/>
    <w:autoRedefine/>
    <w:semiHidden/>
    <w:qFormat/>
    <w:uiPriority w:val="0"/>
    <w:rPr>
      <w:b/>
      <w:bCs/>
    </w:rPr>
  </w:style>
  <w:style w:type="table" w:styleId="20">
    <w:name w:val="Table Grid"/>
    <w:basedOn w:val="19"/>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autoRedefine/>
    <w:qFormat/>
    <w:uiPriority w:val="0"/>
    <w:rPr>
      <w:b/>
      <w:bCs/>
    </w:rPr>
  </w:style>
  <w:style w:type="character" w:styleId="23">
    <w:name w:val="page number"/>
    <w:basedOn w:val="21"/>
    <w:autoRedefine/>
    <w:qFormat/>
    <w:uiPriority w:val="0"/>
  </w:style>
  <w:style w:type="character" w:styleId="24">
    <w:name w:val="Hyperlink"/>
    <w:basedOn w:val="21"/>
    <w:autoRedefine/>
    <w:qFormat/>
    <w:uiPriority w:val="0"/>
    <w:rPr>
      <w:color w:val="0000FF"/>
      <w:u w:val="single"/>
    </w:rPr>
  </w:style>
  <w:style w:type="character" w:styleId="25">
    <w:name w:val="annotation reference"/>
    <w:autoRedefine/>
    <w:semiHidden/>
    <w:qFormat/>
    <w:uiPriority w:val="0"/>
    <w:rPr>
      <w:sz w:val="21"/>
      <w:szCs w:val="21"/>
    </w:rPr>
  </w:style>
  <w:style w:type="character" w:customStyle="1" w:styleId="26">
    <w:name w:val="标题 1 Char"/>
    <w:link w:val="6"/>
    <w:autoRedefine/>
    <w:qFormat/>
    <w:uiPriority w:val="0"/>
    <w:rPr>
      <w:b/>
      <w:bCs/>
      <w:szCs w:val="24"/>
    </w:rPr>
  </w:style>
  <w:style w:type="character" w:customStyle="1" w:styleId="27">
    <w:name w:val="纯文本 Char"/>
    <w:basedOn w:val="21"/>
    <w:link w:val="10"/>
    <w:autoRedefine/>
    <w:qFormat/>
    <w:uiPriority w:val="0"/>
    <w:rPr>
      <w:rFonts w:ascii="宋体" w:hAnsi="Courier New"/>
      <w:kern w:val="2"/>
      <w:sz w:val="21"/>
    </w:rPr>
  </w:style>
  <w:style w:type="character" w:customStyle="1" w:styleId="28">
    <w:name w:val="日期 Char"/>
    <w:link w:val="11"/>
    <w:autoRedefine/>
    <w:qFormat/>
    <w:uiPriority w:val="0"/>
    <w:rPr>
      <w:kern w:val="2"/>
      <w:sz w:val="18"/>
      <w:szCs w:val="24"/>
    </w:rPr>
  </w:style>
  <w:style w:type="character" w:customStyle="1" w:styleId="29">
    <w:name w:val="font71"/>
    <w:autoRedefine/>
    <w:qFormat/>
    <w:uiPriority w:val="0"/>
    <w:rPr>
      <w:rFonts w:hint="eastAsia" w:ascii="宋体" w:hAnsi="宋体" w:eastAsia="宋体"/>
      <w:b/>
      <w:bCs/>
      <w:color w:val="000000"/>
      <w:sz w:val="20"/>
      <w:szCs w:val="20"/>
      <w:u w:val="none"/>
    </w:rPr>
  </w:style>
  <w:style w:type="character" w:customStyle="1" w:styleId="30">
    <w:name w:val="font51"/>
    <w:basedOn w:val="21"/>
    <w:autoRedefine/>
    <w:qFormat/>
    <w:uiPriority w:val="0"/>
    <w:rPr>
      <w:rFonts w:hint="eastAsia" w:ascii="宋体" w:hAnsi="宋体" w:eastAsia="宋体" w:cs="宋体"/>
      <w:color w:val="000000"/>
      <w:sz w:val="22"/>
      <w:szCs w:val="22"/>
      <w:u w:val="none"/>
    </w:rPr>
  </w:style>
  <w:style w:type="character" w:customStyle="1" w:styleId="31">
    <w:name w:val="dy_biao_content1"/>
    <w:autoRedefine/>
    <w:qFormat/>
    <w:uiPriority w:val="0"/>
    <w:rPr>
      <w:rFonts w:hint="eastAsia" w:ascii="宋体" w:hAnsi="宋体" w:eastAsia="宋体"/>
      <w:sz w:val="24"/>
      <w:szCs w:val="24"/>
    </w:rPr>
  </w:style>
  <w:style w:type="paragraph" w:customStyle="1" w:styleId="32">
    <w:name w:val="10 f"/>
    <w:basedOn w:val="1"/>
    <w:autoRedefine/>
    <w:qFormat/>
    <w:uiPriority w:val="99"/>
    <w:pPr>
      <w:tabs>
        <w:tab w:val="left" w:pos="2835"/>
        <w:tab w:val="left" w:pos="3119"/>
        <w:tab w:val="left" w:pos="3402"/>
        <w:tab w:val="left" w:pos="3686"/>
        <w:tab w:val="left" w:pos="3969"/>
        <w:tab w:val="left" w:pos="4253"/>
      </w:tabs>
    </w:pPr>
    <w:rPr>
      <w:b/>
    </w:rPr>
  </w:style>
  <w:style w:type="paragraph" w:customStyle="1" w:styleId="33">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4">
    <w:name w:val="No Spacing"/>
    <w:basedOn w:val="1"/>
    <w:autoRedefine/>
    <w:qFormat/>
    <w:uiPriority w:val="1"/>
    <w:pPr>
      <w:widowControl/>
      <w:jc w:val="left"/>
    </w:pPr>
    <w:rPr>
      <w:kern w:val="0"/>
      <w:sz w:val="20"/>
      <w:lang w:eastAsia="en-US" w:bidi="en-US"/>
    </w:rPr>
  </w:style>
  <w:style w:type="paragraph" w:customStyle="1" w:styleId="35">
    <w:name w:val="Char1"/>
    <w:basedOn w:val="1"/>
    <w:autoRedefine/>
    <w:qFormat/>
    <w:uiPriority w:val="0"/>
    <w:rPr>
      <w:rFonts w:ascii="仿宋_GB2312" w:eastAsia="仿宋_GB2312"/>
      <w:b/>
      <w:sz w:val="32"/>
      <w:szCs w:val="32"/>
    </w:rPr>
  </w:style>
  <w:style w:type="paragraph" w:customStyle="1" w:styleId="36">
    <w:name w:val="Char2 Char Char Char Char Char Char"/>
    <w:basedOn w:val="1"/>
    <w:autoRedefine/>
    <w:qFormat/>
    <w:uiPriority w:val="0"/>
    <w:rPr>
      <w:rFonts w:ascii="仿宋_GB2312"/>
      <w:b/>
      <w:sz w:val="30"/>
    </w:rPr>
  </w:style>
  <w:style w:type="paragraph" w:customStyle="1" w:styleId="37">
    <w:name w:val="Standard o abs"/>
    <w:basedOn w:val="1"/>
    <w:autoRedefine/>
    <w:qFormat/>
    <w:uiPriority w:val="99"/>
    <w:pPr>
      <w:tabs>
        <w:tab w:val="left" w:pos="2835"/>
        <w:tab w:val="left" w:pos="3119"/>
        <w:tab w:val="left" w:pos="3402"/>
        <w:tab w:val="left" w:pos="3686"/>
        <w:tab w:val="left" w:pos="3969"/>
        <w:tab w:val="left" w:pos="4253"/>
      </w:tabs>
    </w:pPr>
  </w:style>
  <w:style w:type="paragraph" w:customStyle="1" w:styleId="38">
    <w:name w:val="样式 居中 行距: 最小值10 磅"/>
    <w:basedOn w:val="1"/>
    <w:autoRedefine/>
    <w:qFormat/>
    <w:uiPriority w:val="0"/>
    <w:pPr>
      <w:spacing w:line="617" w:lineRule="atLeast"/>
      <w:jc w:val="center"/>
    </w:pPr>
    <w:rPr>
      <w:rFonts w:cs="宋体"/>
    </w:rPr>
  </w:style>
  <w:style w:type="paragraph" w:customStyle="1" w:styleId="39">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0">
    <w:name w:val="Char Char Char Char"/>
    <w:basedOn w:val="1"/>
    <w:autoRedefine/>
    <w:qFormat/>
    <w:uiPriority w:val="0"/>
    <w:rPr>
      <w:rFonts w:ascii="Tahoma" w:hAnsi="Tahoma" w:cs="Tahoma"/>
      <w:sz w:val="24"/>
      <w:szCs w:val="24"/>
    </w:rPr>
  </w:style>
  <w:style w:type="paragraph" w:customStyle="1" w:styleId="41">
    <w:name w:val="List Paragraph1"/>
    <w:basedOn w:val="1"/>
    <w:autoRedefine/>
    <w:qFormat/>
    <w:uiPriority w:val="0"/>
    <w:pPr>
      <w:ind w:firstLine="420" w:firstLineChars="200"/>
    </w:pPr>
  </w:style>
  <w:style w:type="paragraph" w:customStyle="1" w:styleId="42">
    <w:name w:val="列出段落1"/>
    <w:basedOn w:val="1"/>
    <w:autoRedefine/>
    <w:qFormat/>
    <w:uiPriority w:val="34"/>
    <w:pPr>
      <w:ind w:left="720"/>
      <w:contextualSpacing/>
    </w:pPr>
  </w:style>
  <w:style w:type="paragraph" w:customStyle="1" w:styleId="43">
    <w:name w:val="Char"/>
    <w:basedOn w:val="1"/>
    <w:autoRedefine/>
    <w:qFormat/>
    <w:uiPriority w:val="0"/>
    <w:pPr>
      <w:tabs>
        <w:tab w:val="left" w:pos="360"/>
      </w:tabs>
    </w:pPr>
    <w:rPr>
      <w:sz w:val="24"/>
      <w:szCs w:val="24"/>
    </w:rPr>
  </w:style>
  <w:style w:type="paragraph" w:styleId="44">
    <w:name w:val="List Paragraph"/>
    <w:basedOn w:val="1"/>
    <w:autoRedefine/>
    <w:qFormat/>
    <w:uiPriority w:val="99"/>
    <w:pPr>
      <w:widowControl/>
      <w:spacing w:before="100" w:beforeAutospacing="1" w:after="200" w:line="273" w:lineRule="auto"/>
      <w:ind w:left="720"/>
      <w:contextualSpacing/>
      <w:jc w:val="left"/>
    </w:pPr>
    <w:rPr>
      <w:rFonts w:ascii="Calibri" w:hAnsi="Calibri" w:cs="Calibri"/>
      <w:kern w:val="0"/>
      <w:sz w:val="22"/>
      <w:szCs w:val="22"/>
    </w:rPr>
  </w:style>
  <w:style w:type="character" w:customStyle="1" w:styleId="45">
    <w:name w:val="标题 #1 + MingLiU"/>
    <w:basedOn w:val="21"/>
    <w:autoRedefine/>
    <w:qFormat/>
    <w:uiPriority w:val="0"/>
    <w:rPr>
      <w:rFonts w:ascii="MingLiU" w:hAnsi="MingLiU" w:eastAsia="MingLiU" w:cs="MingLiU"/>
      <w:b/>
      <w:bCs/>
      <w:color w:val="000000"/>
      <w:spacing w:val="0"/>
      <w:w w:val="100"/>
      <w:position w:val="0"/>
      <w:sz w:val="35"/>
      <w:szCs w:val="35"/>
      <w:u w:val="none"/>
      <w:lang w:val="zh-TW"/>
    </w:rPr>
  </w:style>
  <w:style w:type="character" w:customStyle="1" w:styleId="46">
    <w:name w:val="正文文本 + Arial Unicode MS"/>
    <w:basedOn w:val="21"/>
    <w:autoRedefine/>
    <w:qFormat/>
    <w:uiPriority w:val="0"/>
    <w:rPr>
      <w:rFonts w:ascii="Arial Unicode MS" w:hAnsi="Arial Unicode MS" w:eastAsia="Arial Unicode MS" w:cs="Arial Unicode MS"/>
      <w:color w:val="000000"/>
      <w:spacing w:val="0"/>
      <w:w w:val="100"/>
      <w:position w:val="0"/>
      <w:sz w:val="20"/>
      <w:szCs w:val="20"/>
      <w:u w:val="none"/>
      <w:lang w:val="en-US"/>
    </w:rPr>
  </w:style>
  <w:style w:type="character" w:customStyle="1" w:styleId="47">
    <w:name w:val="正文文本 (5) + MingLiU"/>
    <w:basedOn w:val="21"/>
    <w:autoRedefine/>
    <w:qFormat/>
    <w:uiPriority w:val="0"/>
    <w:rPr>
      <w:rFonts w:ascii="MingLiU" w:hAnsi="MingLiU" w:eastAsia="MingLiU" w:cs="MingLiU"/>
      <w:color w:val="000000"/>
      <w:spacing w:val="0"/>
      <w:w w:val="100"/>
      <w:position w:val="0"/>
      <w:sz w:val="21"/>
      <w:szCs w:val="21"/>
      <w:u w:val="none"/>
      <w:lang w:val="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12761</Words>
  <Characters>14676</Characters>
  <Lines>103</Lines>
  <Paragraphs>29</Paragraphs>
  <TotalTime>7</TotalTime>
  <ScaleCrop>false</ScaleCrop>
  <LinksUpToDate>false</LinksUpToDate>
  <CharactersWithSpaces>15023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2024-02-02T07:52:00Z</dcterms:created>
  <dc:creator>微软用户</dc:creator>
  <cp:lastModifiedBy>婧</cp:lastModifiedBy>
  <cp:lastPrinted>2023-06-19T05:15:00Z</cp:lastPrinted>
  <dcterms:modified xsi:type="dcterms:W3CDTF">2024-04-24T01:47:47Z</dcterms:modified>
  <dc:title>机电产品采购</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29CD023C3D0E454199909DC7796A4926_13</vt:lpwstr>
  </property>
</Properties>
</file>